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DBD90" w14:textId="77777777" w:rsidR="000C003C" w:rsidRDefault="000C003C" w:rsidP="000C003C">
      <w:pPr>
        <w:jc w:val="center"/>
        <w:rPr>
          <w:rFonts w:ascii="Times New Roman" w:eastAsia="Times New Roman" w:hAnsi="Times New Roman" w:cs="Times New Roman"/>
          <w:b/>
        </w:rPr>
      </w:pPr>
      <w:bookmarkStart w:id="0" w:name="_GoBack"/>
      <w:bookmarkEnd w:id="0"/>
    </w:p>
    <w:p w14:paraId="4EB32F3D" w14:textId="77777777" w:rsidR="000C003C" w:rsidRDefault="000C003C" w:rsidP="000C003C">
      <w:pPr>
        <w:jc w:val="center"/>
        <w:rPr>
          <w:rFonts w:ascii="Times New Roman" w:eastAsia="Times New Roman" w:hAnsi="Times New Roman" w:cs="Times New Roman"/>
          <w:b/>
        </w:rPr>
      </w:pPr>
    </w:p>
    <w:p w14:paraId="5196EB5D" w14:textId="77777777" w:rsidR="000C003C" w:rsidRDefault="000C003C" w:rsidP="000C003C">
      <w:pPr>
        <w:jc w:val="center"/>
        <w:rPr>
          <w:rFonts w:ascii="Times New Roman" w:eastAsia="Times New Roman" w:hAnsi="Times New Roman" w:cs="Times New Roman"/>
          <w:b/>
        </w:rPr>
      </w:pPr>
    </w:p>
    <w:p w14:paraId="2F951532" w14:textId="77777777" w:rsidR="000C003C" w:rsidRDefault="000C003C" w:rsidP="000C003C">
      <w:pPr>
        <w:jc w:val="center"/>
        <w:rPr>
          <w:rFonts w:ascii="Times New Roman" w:eastAsia="Times New Roman" w:hAnsi="Times New Roman" w:cs="Times New Roman"/>
          <w:b/>
        </w:rPr>
      </w:pPr>
    </w:p>
    <w:p w14:paraId="00000001" w14:textId="0C6C3E0C" w:rsidR="00E13F1F" w:rsidRPr="000C003C" w:rsidRDefault="009264E3" w:rsidP="000C003C">
      <w:pPr>
        <w:jc w:val="center"/>
        <w:rPr>
          <w:rFonts w:ascii="Times New Roman" w:eastAsia="Times New Roman" w:hAnsi="Times New Roman" w:cs="Times New Roman"/>
          <w:b/>
          <w:sz w:val="24"/>
        </w:rPr>
      </w:pPr>
      <w:r w:rsidRPr="000C003C">
        <w:rPr>
          <w:rFonts w:ascii="Times New Roman" w:eastAsia="Times New Roman" w:hAnsi="Times New Roman" w:cs="Times New Roman"/>
          <w:b/>
          <w:sz w:val="24"/>
        </w:rPr>
        <w:t>Palestine Mandate and the Founding of Israel</w:t>
      </w:r>
    </w:p>
    <w:p w14:paraId="4D8A8574" w14:textId="77777777" w:rsidR="000C003C" w:rsidRDefault="000C003C" w:rsidP="000C003C">
      <w:pPr>
        <w:jc w:val="center"/>
        <w:rPr>
          <w:rFonts w:ascii="Times New Roman" w:eastAsia="Times New Roman" w:hAnsi="Times New Roman" w:cs="Times New Roman"/>
          <w:b/>
        </w:rPr>
      </w:pPr>
    </w:p>
    <w:p w14:paraId="4D8A0B99" w14:textId="77777777" w:rsidR="000C003C" w:rsidRDefault="000C003C" w:rsidP="000C003C">
      <w:pPr>
        <w:jc w:val="center"/>
        <w:rPr>
          <w:rFonts w:ascii="Times New Roman" w:eastAsia="Times New Roman" w:hAnsi="Times New Roman" w:cs="Times New Roman"/>
          <w:b/>
        </w:rPr>
      </w:pPr>
    </w:p>
    <w:p w14:paraId="4D93645F" w14:textId="1AE662CC" w:rsidR="000C003C" w:rsidRDefault="000C003C" w:rsidP="000C003C">
      <w:pPr>
        <w:jc w:val="center"/>
        <w:rPr>
          <w:rFonts w:ascii="Times New Roman" w:eastAsia="Times New Roman" w:hAnsi="Times New Roman" w:cs="Times New Roman"/>
          <w:b/>
        </w:rPr>
      </w:pPr>
    </w:p>
    <w:p w14:paraId="1368F5C4" w14:textId="0F30AE1F" w:rsidR="000C003C" w:rsidRDefault="000C003C" w:rsidP="000C003C">
      <w:pPr>
        <w:jc w:val="center"/>
        <w:rPr>
          <w:rFonts w:ascii="Times New Roman" w:eastAsia="Times New Roman" w:hAnsi="Times New Roman" w:cs="Times New Roman"/>
          <w:b/>
        </w:rPr>
      </w:pPr>
    </w:p>
    <w:p w14:paraId="59948B1A" w14:textId="47680B86" w:rsidR="000C003C" w:rsidRDefault="000C003C" w:rsidP="000C003C">
      <w:pPr>
        <w:jc w:val="center"/>
        <w:rPr>
          <w:rFonts w:ascii="Times New Roman" w:eastAsia="Times New Roman" w:hAnsi="Times New Roman" w:cs="Times New Roman"/>
          <w:b/>
        </w:rPr>
      </w:pPr>
    </w:p>
    <w:p w14:paraId="7D8EDFA7" w14:textId="1761B601" w:rsidR="000C003C" w:rsidRDefault="000C003C" w:rsidP="000C003C">
      <w:pPr>
        <w:jc w:val="center"/>
        <w:rPr>
          <w:rFonts w:ascii="Times New Roman" w:eastAsia="Times New Roman" w:hAnsi="Times New Roman" w:cs="Times New Roman"/>
          <w:b/>
        </w:rPr>
      </w:pPr>
    </w:p>
    <w:p w14:paraId="1A900AF3" w14:textId="04EA2D84" w:rsidR="000C003C" w:rsidRDefault="000C003C" w:rsidP="000C003C">
      <w:pPr>
        <w:jc w:val="center"/>
        <w:rPr>
          <w:rFonts w:ascii="Times New Roman" w:eastAsia="Times New Roman" w:hAnsi="Times New Roman" w:cs="Times New Roman"/>
          <w:b/>
        </w:rPr>
      </w:pPr>
    </w:p>
    <w:p w14:paraId="26E0D5DB" w14:textId="40E0EF23" w:rsidR="000C003C" w:rsidRDefault="000C003C" w:rsidP="000C003C">
      <w:pPr>
        <w:jc w:val="center"/>
        <w:rPr>
          <w:rFonts w:ascii="Times New Roman" w:eastAsia="Times New Roman" w:hAnsi="Times New Roman" w:cs="Times New Roman"/>
          <w:b/>
        </w:rPr>
      </w:pPr>
    </w:p>
    <w:p w14:paraId="1042EFE7" w14:textId="0E41F903" w:rsidR="000C003C" w:rsidRDefault="000C003C" w:rsidP="000C003C">
      <w:pPr>
        <w:jc w:val="center"/>
        <w:rPr>
          <w:rFonts w:ascii="Times New Roman" w:eastAsia="Times New Roman" w:hAnsi="Times New Roman" w:cs="Times New Roman"/>
          <w:b/>
        </w:rPr>
      </w:pPr>
    </w:p>
    <w:p w14:paraId="13FA9A72" w14:textId="60240B43" w:rsidR="000C003C" w:rsidRDefault="000C003C" w:rsidP="000C003C">
      <w:pPr>
        <w:jc w:val="center"/>
        <w:rPr>
          <w:rFonts w:ascii="Times New Roman" w:eastAsia="Times New Roman" w:hAnsi="Times New Roman" w:cs="Times New Roman"/>
          <w:b/>
        </w:rPr>
      </w:pPr>
    </w:p>
    <w:p w14:paraId="61D0F888" w14:textId="77777777" w:rsidR="000C003C" w:rsidRDefault="000C003C" w:rsidP="000C003C">
      <w:pPr>
        <w:jc w:val="center"/>
        <w:rPr>
          <w:rFonts w:ascii="Times New Roman" w:eastAsia="Times New Roman" w:hAnsi="Times New Roman" w:cs="Times New Roman"/>
          <w:b/>
        </w:rPr>
      </w:pPr>
    </w:p>
    <w:p w14:paraId="046383B1" w14:textId="4A26CD00" w:rsidR="000C003C" w:rsidRPr="000C003C" w:rsidRDefault="009264E3" w:rsidP="000C003C">
      <w:pPr>
        <w:spacing w:line="480" w:lineRule="auto"/>
        <w:jc w:val="center"/>
        <w:rPr>
          <w:rFonts w:ascii="Times New Roman" w:eastAsia="Times New Roman" w:hAnsi="Times New Roman" w:cs="Times New Roman"/>
          <w:sz w:val="24"/>
        </w:rPr>
      </w:pPr>
      <w:r w:rsidRPr="000C003C">
        <w:rPr>
          <w:rFonts w:ascii="Times New Roman" w:eastAsia="Times New Roman" w:hAnsi="Times New Roman" w:cs="Times New Roman"/>
          <w:sz w:val="24"/>
        </w:rPr>
        <w:t>Author</w:t>
      </w:r>
    </w:p>
    <w:p w14:paraId="1F8C5BDE" w14:textId="1B062695" w:rsidR="000C003C" w:rsidRPr="000C003C" w:rsidRDefault="009264E3" w:rsidP="000C003C">
      <w:pPr>
        <w:spacing w:line="480" w:lineRule="auto"/>
        <w:jc w:val="center"/>
        <w:rPr>
          <w:rFonts w:ascii="Times New Roman" w:eastAsia="Times New Roman" w:hAnsi="Times New Roman" w:cs="Times New Roman"/>
          <w:sz w:val="24"/>
        </w:rPr>
      </w:pPr>
      <w:r w:rsidRPr="000C003C">
        <w:rPr>
          <w:rFonts w:ascii="Times New Roman" w:eastAsia="Times New Roman" w:hAnsi="Times New Roman" w:cs="Times New Roman"/>
          <w:sz w:val="24"/>
        </w:rPr>
        <w:t>Institutional Affiliation</w:t>
      </w:r>
    </w:p>
    <w:p w14:paraId="374953D8" w14:textId="7DC023B2" w:rsidR="000C003C" w:rsidRPr="000C003C" w:rsidRDefault="009264E3" w:rsidP="000C003C">
      <w:pPr>
        <w:spacing w:line="480" w:lineRule="auto"/>
        <w:jc w:val="center"/>
        <w:rPr>
          <w:rFonts w:ascii="Times New Roman" w:eastAsia="Times New Roman" w:hAnsi="Times New Roman" w:cs="Times New Roman"/>
          <w:sz w:val="24"/>
        </w:rPr>
      </w:pPr>
      <w:r w:rsidRPr="000C003C">
        <w:rPr>
          <w:rFonts w:ascii="Times New Roman" w:eastAsia="Times New Roman" w:hAnsi="Times New Roman" w:cs="Times New Roman"/>
          <w:sz w:val="24"/>
        </w:rPr>
        <w:t>Instructor</w:t>
      </w:r>
    </w:p>
    <w:p w14:paraId="64AAB41F" w14:textId="4CDC1E64" w:rsidR="000C003C" w:rsidRPr="000C003C" w:rsidRDefault="009264E3" w:rsidP="000C003C">
      <w:pPr>
        <w:spacing w:line="480" w:lineRule="auto"/>
        <w:jc w:val="center"/>
        <w:rPr>
          <w:rFonts w:ascii="Times New Roman" w:eastAsia="Times New Roman" w:hAnsi="Times New Roman" w:cs="Times New Roman"/>
          <w:sz w:val="24"/>
        </w:rPr>
      </w:pPr>
      <w:r w:rsidRPr="000C003C">
        <w:rPr>
          <w:rFonts w:ascii="Times New Roman" w:eastAsia="Times New Roman" w:hAnsi="Times New Roman" w:cs="Times New Roman"/>
          <w:sz w:val="24"/>
        </w:rPr>
        <w:t>Course code</w:t>
      </w:r>
    </w:p>
    <w:p w14:paraId="3386B9EC" w14:textId="1B8B136A" w:rsidR="000C003C" w:rsidRDefault="009264E3" w:rsidP="000C003C">
      <w:pPr>
        <w:spacing w:line="480" w:lineRule="auto"/>
        <w:jc w:val="center"/>
        <w:rPr>
          <w:rFonts w:ascii="Times New Roman" w:eastAsia="Times New Roman" w:hAnsi="Times New Roman" w:cs="Times New Roman"/>
          <w:b/>
        </w:rPr>
      </w:pPr>
      <w:r w:rsidRPr="000C003C">
        <w:rPr>
          <w:rFonts w:ascii="Times New Roman" w:eastAsia="Times New Roman" w:hAnsi="Times New Roman" w:cs="Times New Roman"/>
          <w:sz w:val="24"/>
        </w:rPr>
        <w:t>Date</w:t>
      </w:r>
    </w:p>
    <w:p w14:paraId="00000002" w14:textId="77777777" w:rsidR="00E13F1F" w:rsidRDefault="00E13F1F" w:rsidP="0091059D">
      <w:pPr>
        <w:jc w:val="both"/>
        <w:rPr>
          <w:rFonts w:ascii="Times New Roman" w:eastAsia="Times New Roman" w:hAnsi="Times New Roman" w:cs="Times New Roman"/>
          <w:b/>
        </w:rPr>
      </w:pPr>
    </w:p>
    <w:p w14:paraId="7BBDD77B" w14:textId="77777777" w:rsidR="000C003C" w:rsidRDefault="000C003C" w:rsidP="0091059D">
      <w:pPr>
        <w:jc w:val="both"/>
        <w:rPr>
          <w:rFonts w:ascii="Times New Roman" w:eastAsia="Times New Roman" w:hAnsi="Times New Roman" w:cs="Times New Roman"/>
          <w:b/>
        </w:rPr>
      </w:pPr>
    </w:p>
    <w:p w14:paraId="2E9636BA" w14:textId="77777777" w:rsidR="000C003C" w:rsidRDefault="000C003C" w:rsidP="0091059D">
      <w:pPr>
        <w:jc w:val="both"/>
        <w:rPr>
          <w:rFonts w:ascii="Times New Roman" w:eastAsia="Times New Roman" w:hAnsi="Times New Roman" w:cs="Times New Roman"/>
          <w:b/>
        </w:rPr>
      </w:pPr>
    </w:p>
    <w:p w14:paraId="04E65FD9" w14:textId="313836CF" w:rsidR="000C003C" w:rsidRDefault="000C003C" w:rsidP="0091059D">
      <w:pPr>
        <w:jc w:val="both"/>
        <w:rPr>
          <w:rFonts w:ascii="Times New Roman" w:eastAsia="Times New Roman" w:hAnsi="Times New Roman" w:cs="Times New Roman"/>
          <w:b/>
        </w:rPr>
      </w:pPr>
    </w:p>
    <w:p w14:paraId="549B7026" w14:textId="77777777" w:rsidR="000C003C" w:rsidRDefault="000C003C" w:rsidP="0091059D">
      <w:pPr>
        <w:jc w:val="both"/>
        <w:rPr>
          <w:rFonts w:ascii="Times New Roman" w:eastAsia="Times New Roman" w:hAnsi="Times New Roman" w:cs="Times New Roman"/>
          <w:b/>
        </w:rPr>
      </w:pPr>
    </w:p>
    <w:p w14:paraId="2DFB0C05" w14:textId="77777777" w:rsidR="000C003C" w:rsidRDefault="000C003C" w:rsidP="0091059D">
      <w:pPr>
        <w:jc w:val="both"/>
        <w:rPr>
          <w:rFonts w:ascii="Times New Roman" w:eastAsia="Times New Roman" w:hAnsi="Times New Roman" w:cs="Times New Roman"/>
          <w:b/>
        </w:rPr>
      </w:pPr>
    </w:p>
    <w:p w14:paraId="00000003" w14:textId="7BEF7F7E" w:rsidR="00E13F1F" w:rsidRPr="000C003C" w:rsidRDefault="009264E3" w:rsidP="000C003C">
      <w:pPr>
        <w:spacing w:line="480" w:lineRule="auto"/>
        <w:jc w:val="both"/>
        <w:rPr>
          <w:rFonts w:ascii="Times New Roman" w:eastAsia="Times New Roman" w:hAnsi="Times New Roman" w:cs="Times New Roman"/>
          <w:b/>
          <w:sz w:val="24"/>
          <w:szCs w:val="24"/>
        </w:rPr>
      </w:pPr>
      <w:r w:rsidRPr="000C003C">
        <w:rPr>
          <w:rFonts w:ascii="Times New Roman" w:eastAsia="Times New Roman" w:hAnsi="Times New Roman" w:cs="Times New Roman"/>
          <w:b/>
          <w:sz w:val="24"/>
          <w:szCs w:val="24"/>
        </w:rPr>
        <w:lastRenderedPageBreak/>
        <w:t xml:space="preserve">Please use the following to take notes on the Cleveland chapter.  </w:t>
      </w:r>
    </w:p>
    <w:p w14:paraId="00000004" w14:textId="77777777" w:rsidR="00E13F1F" w:rsidRPr="000C003C" w:rsidRDefault="009264E3" w:rsidP="000C003C">
      <w:pPr>
        <w:spacing w:line="480" w:lineRule="auto"/>
        <w:jc w:val="both"/>
        <w:rPr>
          <w:rFonts w:ascii="Times New Roman" w:eastAsia="Times New Roman" w:hAnsi="Times New Roman" w:cs="Times New Roman"/>
          <w:b/>
          <w:sz w:val="24"/>
          <w:szCs w:val="24"/>
        </w:rPr>
      </w:pPr>
      <w:r w:rsidRPr="000C003C">
        <w:rPr>
          <w:rFonts w:ascii="Times New Roman" w:eastAsia="Times New Roman" w:hAnsi="Times New Roman" w:cs="Times New Roman"/>
          <w:b/>
          <w:sz w:val="24"/>
          <w:szCs w:val="24"/>
        </w:rPr>
        <w:t xml:space="preserve">I. The “IDs” below are listed in order. As you read, define </w:t>
      </w:r>
      <w:r w:rsidRPr="000C003C">
        <w:rPr>
          <w:rFonts w:ascii="Times New Roman" w:eastAsia="Times New Roman" w:hAnsi="Times New Roman" w:cs="Times New Roman"/>
          <w:b/>
          <w:sz w:val="24"/>
          <w:szCs w:val="24"/>
        </w:rPr>
        <w:t>or describe the term and list the page number. This will be very useful for you later in the course.</w:t>
      </w:r>
    </w:p>
    <w:p w14:paraId="00000005" w14:textId="26A30251"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Zionism</w:t>
      </w:r>
      <w:r w:rsidR="00503612" w:rsidRPr="000C003C">
        <w:rPr>
          <w:rFonts w:ascii="Times New Roman" w:eastAsia="Times New Roman" w:hAnsi="Times New Roman" w:cs="Times New Roman"/>
          <w:sz w:val="24"/>
          <w:szCs w:val="24"/>
        </w:rPr>
        <w:t xml:space="preserve"> is defined as </w:t>
      </w:r>
      <w:r w:rsidR="00050703" w:rsidRPr="000C003C">
        <w:rPr>
          <w:rFonts w:ascii="Times New Roman" w:eastAsia="Times New Roman" w:hAnsi="Times New Roman" w:cs="Times New Roman"/>
          <w:sz w:val="24"/>
          <w:szCs w:val="24"/>
        </w:rPr>
        <w:t>the nationalistic movement initiated by the Jewish whose main goal was to create and support a Jewish national state in Palestine.</w:t>
      </w:r>
    </w:p>
    <w:p w14:paraId="00000006" w14:textId="13F90A1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Theodor Herzl</w:t>
      </w:r>
      <w:r w:rsidR="00050703" w:rsidRPr="000C003C">
        <w:rPr>
          <w:rFonts w:ascii="Times New Roman" w:eastAsia="Times New Roman" w:hAnsi="Times New Roman" w:cs="Times New Roman"/>
          <w:sz w:val="24"/>
          <w:szCs w:val="24"/>
        </w:rPr>
        <w:t>: according to this article, Theodor is considered as the founder of political Zionism. He did not originate the idea of Zionism however his determination and energy ensured and steered the existing strands of the ideology into a coherent international movement.</w:t>
      </w:r>
    </w:p>
    <w:p w14:paraId="00000007" w14:textId="4B8A780C"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i/>
          <w:sz w:val="24"/>
          <w:szCs w:val="24"/>
        </w:rPr>
        <w:t>The Jewish State</w:t>
      </w:r>
      <w:r w:rsidRPr="000C003C">
        <w:rPr>
          <w:rFonts w:ascii="Times New Roman" w:eastAsia="Times New Roman" w:hAnsi="Times New Roman" w:cs="Times New Roman"/>
          <w:sz w:val="24"/>
          <w:szCs w:val="24"/>
        </w:rPr>
        <w:t xml:space="preserve"> (1896)</w:t>
      </w:r>
      <w:r w:rsidR="00AB1B75" w:rsidRPr="000C003C">
        <w:rPr>
          <w:rFonts w:ascii="Times New Roman" w:eastAsia="Times New Roman" w:hAnsi="Times New Roman" w:cs="Times New Roman"/>
          <w:sz w:val="24"/>
          <w:szCs w:val="24"/>
        </w:rPr>
        <w:t xml:space="preserve"> refers to a collection of Theodor’s writings which provided the ideological basis </w:t>
      </w:r>
      <w:r w:rsidR="00DB1FBF" w:rsidRPr="000C003C">
        <w:rPr>
          <w:rFonts w:ascii="Times New Roman" w:eastAsia="Times New Roman" w:hAnsi="Times New Roman" w:cs="Times New Roman"/>
          <w:sz w:val="24"/>
          <w:szCs w:val="24"/>
        </w:rPr>
        <w:t>for political Zionism</w:t>
      </w:r>
      <w:r w:rsidR="00FB3306" w:rsidRPr="000C003C">
        <w:rPr>
          <w:rFonts w:ascii="Times New Roman" w:eastAsia="Times New Roman" w:hAnsi="Times New Roman" w:cs="Times New Roman"/>
          <w:sz w:val="24"/>
          <w:szCs w:val="24"/>
        </w:rPr>
        <w:t>.</w:t>
      </w:r>
      <w:r w:rsidR="00AB1B75" w:rsidRPr="000C003C">
        <w:rPr>
          <w:rFonts w:ascii="Times New Roman" w:eastAsia="Times New Roman" w:hAnsi="Times New Roman" w:cs="Times New Roman"/>
          <w:sz w:val="24"/>
          <w:szCs w:val="24"/>
        </w:rPr>
        <w:t xml:space="preserve"> </w:t>
      </w:r>
    </w:p>
    <w:p w14:paraId="00000008" w14:textId="2EC88E0B"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Balfour Declaration</w:t>
      </w:r>
      <w:r w:rsidR="00D325A0" w:rsidRPr="000C003C">
        <w:rPr>
          <w:rFonts w:ascii="Times New Roman" w:eastAsia="Times New Roman" w:hAnsi="Times New Roman" w:cs="Times New Roman"/>
          <w:sz w:val="24"/>
          <w:szCs w:val="24"/>
        </w:rPr>
        <w:t xml:space="preserve"> refers to a public declaration made by Britain during the first world war</w:t>
      </w:r>
      <w:r w:rsidR="00EB1AF8" w:rsidRPr="000C003C">
        <w:rPr>
          <w:rFonts w:ascii="Times New Roman" w:eastAsia="Times New Roman" w:hAnsi="Times New Roman" w:cs="Times New Roman"/>
          <w:sz w:val="24"/>
          <w:szCs w:val="24"/>
        </w:rPr>
        <w:t xml:space="preserve"> pledging to support the establishment of a national home for the Jewish in Palestine  </w:t>
      </w:r>
    </w:p>
    <w:p w14:paraId="00000009" w14:textId="215102DF"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San Remo Conference</w:t>
      </w:r>
      <w:r w:rsidR="00BD2621" w:rsidRPr="000C003C">
        <w:rPr>
          <w:rFonts w:ascii="Times New Roman" w:eastAsia="Times New Roman" w:hAnsi="Times New Roman" w:cs="Times New Roman"/>
          <w:sz w:val="24"/>
          <w:szCs w:val="24"/>
        </w:rPr>
        <w:t xml:space="preserve"> is a 1912 conference that awarded Britain the mandate for Palestine, and by this, the military government was replaced </w:t>
      </w:r>
      <w:r w:rsidR="0037555A" w:rsidRPr="000C003C">
        <w:rPr>
          <w:rFonts w:ascii="Times New Roman" w:eastAsia="Times New Roman" w:hAnsi="Times New Roman" w:cs="Times New Roman"/>
          <w:sz w:val="24"/>
          <w:szCs w:val="24"/>
        </w:rPr>
        <w:t>by a civilian administration (Pg. 245).</w:t>
      </w:r>
    </w:p>
    <w:p w14:paraId="0000000A" w14:textId="2EF991D8"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w:t>
      </w:r>
      <w:r w:rsidRPr="000C003C">
        <w:rPr>
          <w:rFonts w:ascii="Times New Roman" w:eastAsia="Times New Roman" w:hAnsi="Times New Roman" w:cs="Times New Roman"/>
          <w:sz w:val="24"/>
          <w:szCs w:val="24"/>
        </w:rPr>
        <w:t>22 White Paper</w:t>
      </w:r>
      <w:r w:rsidR="0037555A" w:rsidRPr="000C003C">
        <w:rPr>
          <w:rFonts w:ascii="Times New Roman" w:eastAsia="Times New Roman" w:hAnsi="Times New Roman" w:cs="Times New Roman"/>
          <w:sz w:val="24"/>
          <w:szCs w:val="24"/>
        </w:rPr>
        <w:t xml:space="preserve"> </w:t>
      </w:r>
      <w:r w:rsidR="00362CAA" w:rsidRPr="000C003C">
        <w:rPr>
          <w:rFonts w:ascii="Times New Roman" w:eastAsia="Times New Roman" w:hAnsi="Times New Roman" w:cs="Times New Roman"/>
          <w:sz w:val="24"/>
          <w:szCs w:val="24"/>
        </w:rPr>
        <w:t>refers</w:t>
      </w:r>
      <w:r w:rsidR="0037555A" w:rsidRPr="000C003C">
        <w:rPr>
          <w:rFonts w:ascii="Times New Roman" w:eastAsia="Times New Roman" w:hAnsi="Times New Roman" w:cs="Times New Roman"/>
          <w:sz w:val="24"/>
          <w:szCs w:val="24"/>
        </w:rPr>
        <w:t xml:space="preserve"> to </w:t>
      </w:r>
      <w:r w:rsidR="00362CAA" w:rsidRPr="000C003C">
        <w:rPr>
          <w:rFonts w:ascii="Times New Roman" w:eastAsia="Times New Roman" w:hAnsi="Times New Roman" w:cs="Times New Roman"/>
          <w:sz w:val="24"/>
          <w:szCs w:val="24"/>
        </w:rPr>
        <w:t>an</w:t>
      </w:r>
      <w:r w:rsidR="0037555A" w:rsidRPr="000C003C">
        <w:rPr>
          <w:rFonts w:ascii="Times New Roman" w:eastAsia="Times New Roman" w:hAnsi="Times New Roman" w:cs="Times New Roman"/>
          <w:sz w:val="24"/>
          <w:szCs w:val="24"/>
        </w:rPr>
        <w:t xml:space="preserve"> official document issued by the British government indicating that the British were </w:t>
      </w:r>
      <w:r w:rsidR="00362CAA" w:rsidRPr="000C003C">
        <w:rPr>
          <w:rFonts w:ascii="Times New Roman" w:eastAsia="Times New Roman" w:hAnsi="Times New Roman" w:cs="Times New Roman"/>
          <w:sz w:val="24"/>
          <w:szCs w:val="24"/>
        </w:rPr>
        <w:t>committed</w:t>
      </w:r>
      <w:r w:rsidR="0037555A" w:rsidRPr="000C003C">
        <w:rPr>
          <w:rFonts w:ascii="Times New Roman" w:eastAsia="Times New Roman" w:hAnsi="Times New Roman" w:cs="Times New Roman"/>
          <w:sz w:val="24"/>
          <w:szCs w:val="24"/>
        </w:rPr>
        <w:t xml:space="preserve"> to working within the frameworks of the Balfour Declaration</w:t>
      </w:r>
      <w:r w:rsidR="00362CAA" w:rsidRPr="000C003C">
        <w:rPr>
          <w:rFonts w:ascii="Times New Roman" w:eastAsia="Times New Roman" w:hAnsi="Times New Roman" w:cs="Times New Roman"/>
          <w:sz w:val="24"/>
          <w:szCs w:val="24"/>
        </w:rPr>
        <w:t xml:space="preserve"> and that establishing a Jewish home in Palestine did not Palestine becoming wholly a Jewish country.</w:t>
      </w:r>
      <w:r w:rsidR="00D3266C" w:rsidRPr="000C003C">
        <w:rPr>
          <w:rFonts w:ascii="Times New Roman" w:hAnsi="Times New Roman" w:cs="Times New Roman"/>
          <w:sz w:val="24"/>
          <w:szCs w:val="24"/>
        </w:rPr>
        <w:t xml:space="preserve"> </w:t>
      </w:r>
      <w:r w:rsidR="00D3266C" w:rsidRPr="000C003C">
        <w:rPr>
          <w:rFonts w:ascii="Times New Roman" w:eastAsia="Times New Roman" w:hAnsi="Times New Roman" w:cs="Times New Roman"/>
          <w:sz w:val="24"/>
          <w:szCs w:val="24"/>
        </w:rPr>
        <w:t>White Paper was intended to remove the ambiguities contained in the Balfour Declaration</w:t>
      </w:r>
    </w:p>
    <w:p w14:paraId="0000000B" w14:textId="096E669D"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Arab Executive</w:t>
      </w:r>
      <w:r w:rsidR="00D3266C" w:rsidRPr="000C003C">
        <w:rPr>
          <w:rFonts w:ascii="Times New Roman" w:eastAsia="Times New Roman" w:hAnsi="Times New Roman" w:cs="Times New Roman"/>
          <w:sz w:val="24"/>
          <w:szCs w:val="24"/>
        </w:rPr>
        <w:t xml:space="preserve"> refers to an executive Arab committee that acted as a representative of the Arabs. This committee was however not recognized by the British administration leading to its dissolution in 1934</w:t>
      </w:r>
    </w:p>
    <w:p w14:paraId="0000000C" w14:textId="427A5C3D"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W</w:t>
      </w:r>
      <w:r w:rsidR="0076017A" w:rsidRPr="000C003C">
        <w:rPr>
          <w:rFonts w:ascii="Times New Roman" w:eastAsia="Times New Roman" w:hAnsi="Times New Roman" w:cs="Times New Roman"/>
          <w:sz w:val="24"/>
          <w:szCs w:val="24"/>
        </w:rPr>
        <w:t>aqf</w:t>
      </w:r>
      <w:r w:rsidRPr="000C003C">
        <w:rPr>
          <w:rFonts w:ascii="Times New Roman" w:eastAsia="Times New Roman" w:hAnsi="Times New Roman" w:cs="Times New Roman"/>
          <w:sz w:val="24"/>
          <w:szCs w:val="24"/>
        </w:rPr>
        <w:t xml:space="preserve"> is an inalienable charitable endowment enshrined under the Islamic law, however by the creation of the Jewish st</w:t>
      </w:r>
      <w:r w:rsidRPr="000C003C">
        <w:rPr>
          <w:rFonts w:ascii="Times New Roman" w:eastAsia="Times New Roman" w:hAnsi="Times New Roman" w:cs="Times New Roman"/>
          <w:sz w:val="24"/>
          <w:szCs w:val="24"/>
        </w:rPr>
        <w:t>ate in Palestine, it would be subject to largescale transfer to the Jewish control</w:t>
      </w:r>
    </w:p>
    <w:p w14:paraId="0000000D" w14:textId="45D53B96"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Hajj Amin</w:t>
      </w:r>
      <w:r w:rsidR="003B5329" w:rsidRPr="000C003C">
        <w:rPr>
          <w:rFonts w:ascii="Times New Roman" w:eastAsia="Times New Roman" w:hAnsi="Times New Roman" w:cs="Times New Roman"/>
          <w:sz w:val="24"/>
          <w:szCs w:val="24"/>
        </w:rPr>
        <w:t xml:space="preserve"> is </w:t>
      </w:r>
      <w:r w:rsidR="00D513EC" w:rsidRPr="000C003C">
        <w:rPr>
          <w:rFonts w:ascii="Times New Roman" w:eastAsia="Times New Roman" w:hAnsi="Times New Roman" w:cs="Times New Roman"/>
          <w:sz w:val="24"/>
          <w:szCs w:val="24"/>
        </w:rPr>
        <w:t>a Palestinian nationalist</w:t>
      </w:r>
      <w:r w:rsidR="003B5329" w:rsidRPr="000C003C">
        <w:rPr>
          <w:rFonts w:ascii="Times New Roman" w:eastAsia="Times New Roman" w:hAnsi="Times New Roman" w:cs="Times New Roman"/>
          <w:sz w:val="24"/>
          <w:szCs w:val="24"/>
        </w:rPr>
        <w:t xml:space="preserve"> who was more concerned with defending the Muslim holy </w:t>
      </w:r>
      <w:r w:rsidR="00D513EC" w:rsidRPr="000C003C">
        <w:rPr>
          <w:rFonts w:ascii="Times New Roman" w:eastAsia="Times New Roman" w:hAnsi="Times New Roman" w:cs="Times New Roman"/>
          <w:sz w:val="24"/>
          <w:szCs w:val="24"/>
        </w:rPr>
        <w:t>sites</w:t>
      </w:r>
      <w:r w:rsidR="003B5329" w:rsidRPr="000C003C">
        <w:rPr>
          <w:rFonts w:ascii="Times New Roman" w:eastAsia="Times New Roman" w:hAnsi="Times New Roman" w:cs="Times New Roman"/>
          <w:sz w:val="24"/>
          <w:szCs w:val="24"/>
        </w:rPr>
        <w:t xml:space="preserve"> in Palestine in </w:t>
      </w:r>
      <w:r w:rsidR="00D513EC" w:rsidRPr="000C003C">
        <w:rPr>
          <w:rFonts w:ascii="Times New Roman" w:eastAsia="Times New Roman" w:hAnsi="Times New Roman" w:cs="Times New Roman"/>
          <w:sz w:val="24"/>
          <w:szCs w:val="24"/>
        </w:rPr>
        <w:t>Jerusalem</w:t>
      </w:r>
      <w:r w:rsidR="003B5329" w:rsidRPr="000C003C">
        <w:rPr>
          <w:rFonts w:ascii="Times New Roman" w:eastAsia="Times New Roman" w:hAnsi="Times New Roman" w:cs="Times New Roman"/>
          <w:sz w:val="24"/>
          <w:szCs w:val="24"/>
        </w:rPr>
        <w:t xml:space="preserve"> against the Zionist encroachment.</w:t>
      </w:r>
      <w:r w:rsidR="007004B2" w:rsidRPr="000C003C">
        <w:rPr>
          <w:rFonts w:ascii="Times New Roman" w:eastAsia="Times New Roman" w:hAnsi="Times New Roman" w:cs="Times New Roman"/>
          <w:sz w:val="24"/>
          <w:szCs w:val="24"/>
        </w:rPr>
        <w:t xml:space="preserve"> He was traditionally responsible for regulating Islamic affairs within the greater Jerusalem district</w:t>
      </w:r>
    </w:p>
    <w:p w14:paraId="0000000E" w14:textId="102FE0F3"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The Jewish Agency</w:t>
      </w:r>
      <w:r w:rsidR="007004B2" w:rsidRPr="000C003C">
        <w:rPr>
          <w:rFonts w:ascii="Times New Roman" w:eastAsia="Times New Roman" w:hAnsi="Times New Roman" w:cs="Times New Roman"/>
          <w:sz w:val="24"/>
          <w:szCs w:val="24"/>
        </w:rPr>
        <w:t xml:space="preserve"> refers to </w:t>
      </w:r>
      <w:r w:rsidR="0091059D" w:rsidRPr="000C003C">
        <w:rPr>
          <w:rFonts w:ascii="Times New Roman" w:eastAsia="Times New Roman" w:hAnsi="Times New Roman" w:cs="Times New Roman"/>
          <w:sz w:val="24"/>
          <w:szCs w:val="24"/>
        </w:rPr>
        <w:t>an</w:t>
      </w:r>
      <w:r w:rsidR="007004B2" w:rsidRPr="000C003C">
        <w:rPr>
          <w:rFonts w:ascii="Times New Roman" w:eastAsia="Times New Roman" w:hAnsi="Times New Roman" w:cs="Times New Roman"/>
          <w:sz w:val="24"/>
          <w:szCs w:val="24"/>
        </w:rPr>
        <w:t xml:space="preserve"> agency created in 1929 representing the world Zionist </w:t>
      </w:r>
      <w:r w:rsidR="0091059D" w:rsidRPr="000C003C">
        <w:rPr>
          <w:rFonts w:ascii="Times New Roman" w:eastAsia="Times New Roman" w:hAnsi="Times New Roman" w:cs="Times New Roman"/>
          <w:sz w:val="24"/>
          <w:szCs w:val="24"/>
        </w:rPr>
        <w:t>movement</w:t>
      </w:r>
      <w:r w:rsidR="007004B2" w:rsidRPr="000C003C">
        <w:rPr>
          <w:rFonts w:ascii="Times New Roman" w:eastAsia="Times New Roman" w:hAnsi="Times New Roman" w:cs="Times New Roman"/>
          <w:sz w:val="24"/>
          <w:szCs w:val="24"/>
        </w:rPr>
        <w:t xml:space="preserve"> responsible for assisting and encouraging Jews throughout the world to help them settle in Israel. The Jewish Agency acted as an external arm of the Zionists to oversee the resettlement of the Jews in Palestine</w:t>
      </w:r>
    </w:p>
    <w:p w14:paraId="0000000F" w14:textId="351D5F41"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Yishuv</w:t>
      </w:r>
      <w:r w:rsidR="0091059D" w:rsidRPr="000C003C">
        <w:rPr>
          <w:rFonts w:ascii="Times New Roman" w:eastAsia="Times New Roman" w:hAnsi="Times New Roman" w:cs="Times New Roman"/>
          <w:sz w:val="24"/>
          <w:szCs w:val="24"/>
        </w:rPr>
        <w:t xml:space="preserve"> is the name of the Jewish community in Palestine before 1948 that was primarily formed to promote Jewish trade unionism (251).</w:t>
      </w:r>
    </w:p>
    <w:p w14:paraId="00000010" w14:textId="52B61881" w:rsidR="00E13F1F" w:rsidRPr="000C003C" w:rsidRDefault="009264E3" w:rsidP="000C003C">
      <w:pPr>
        <w:spacing w:line="480" w:lineRule="auto"/>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Histadrut</w:t>
      </w:r>
      <w:r w:rsidR="001E0798" w:rsidRPr="000C003C">
        <w:rPr>
          <w:rFonts w:ascii="Times New Roman" w:eastAsia="Times New Roman" w:hAnsi="Times New Roman" w:cs="Times New Roman"/>
          <w:sz w:val="24"/>
          <w:szCs w:val="24"/>
        </w:rPr>
        <w:t xml:space="preserve"> is an important example of the Yishuv formed in 1920 to engage in an extensive range of entrepreneurial activities (Pg. 251)</w:t>
      </w:r>
    </w:p>
    <w:p w14:paraId="00000011" w14:textId="2F91192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Hagenah</w:t>
      </w:r>
      <w:r w:rsidR="001E0798" w:rsidRPr="000C003C">
        <w:rPr>
          <w:rFonts w:ascii="Times New Roman" w:eastAsia="Times New Roman" w:hAnsi="Times New Roman" w:cs="Times New Roman"/>
          <w:sz w:val="24"/>
          <w:szCs w:val="24"/>
        </w:rPr>
        <w:t xml:space="preserve"> primarily refers to the </w:t>
      </w:r>
      <w:r w:rsidR="00AC7C76" w:rsidRPr="000C003C">
        <w:rPr>
          <w:rFonts w:ascii="Times New Roman" w:eastAsia="Times New Roman" w:hAnsi="Times New Roman" w:cs="Times New Roman"/>
          <w:sz w:val="24"/>
          <w:szCs w:val="24"/>
        </w:rPr>
        <w:t xml:space="preserve">Jewish </w:t>
      </w:r>
      <w:r w:rsidR="00C82AE5" w:rsidRPr="000C003C">
        <w:rPr>
          <w:rFonts w:ascii="Times New Roman" w:eastAsia="Times New Roman" w:hAnsi="Times New Roman" w:cs="Times New Roman"/>
          <w:sz w:val="24"/>
          <w:szCs w:val="24"/>
        </w:rPr>
        <w:t>Defense</w:t>
      </w:r>
      <w:r w:rsidR="00AC7C76" w:rsidRPr="000C003C">
        <w:rPr>
          <w:rFonts w:ascii="Times New Roman" w:eastAsia="Times New Roman" w:hAnsi="Times New Roman" w:cs="Times New Roman"/>
          <w:sz w:val="24"/>
          <w:szCs w:val="24"/>
        </w:rPr>
        <w:t xml:space="preserve"> Forces that were formed in 1920 in response </w:t>
      </w:r>
      <w:r w:rsidR="00C82AE5" w:rsidRPr="000C003C">
        <w:rPr>
          <w:rFonts w:ascii="Times New Roman" w:eastAsia="Times New Roman" w:hAnsi="Times New Roman" w:cs="Times New Roman"/>
          <w:sz w:val="24"/>
          <w:szCs w:val="24"/>
        </w:rPr>
        <w:t>to the Arab riots. Hagana was to provide trained and centralized military arm with the ability to defend the Jewish community against any possible b</w:t>
      </w:r>
      <w:r w:rsidR="00CD15BE" w:rsidRPr="000C003C">
        <w:rPr>
          <w:rFonts w:ascii="Times New Roman" w:eastAsia="Times New Roman" w:hAnsi="Times New Roman" w:cs="Times New Roman"/>
          <w:sz w:val="24"/>
          <w:szCs w:val="24"/>
        </w:rPr>
        <w:t>y the Arabs (Pg. 252).</w:t>
      </w:r>
    </w:p>
    <w:p w14:paraId="00000012" w14:textId="52617DB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David Ben-Gurion</w:t>
      </w:r>
      <w:r w:rsidR="00490A4B" w:rsidRPr="000C003C">
        <w:rPr>
          <w:rFonts w:ascii="Times New Roman" w:eastAsia="Times New Roman" w:hAnsi="Times New Roman" w:cs="Times New Roman"/>
          <w:sz w:val="24"/>
          <w:szCs w:val="24"/>
        </w:rPr>
        <w:t xml:space="preserve"> is considered as one of the individuals for the perfect representation of the social egalitarian ideal of the Yishuv during its formative years. As both Mapai Party head and Jewish Agency chairman, Ben-Gurion was the acknowledged leader of the Yishuv and a popular choice as Israel’s ﬁrst prime minister in 1948 (Pg.252).</w:t>
      </w:r>
    </w:p>
    <w:p w14:paraId="00000013" w14:textId="5B582F3D"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World Zionist Conference</w:t>
      </w:r>
      <w:r w:rsidR="00D31A80" w:rsidRPr="000C003C">
        <w:rPr>
          <w:rFonts w:ascii="Times New Roman" w:eastAsia="Times New Roman" w:hAnsi="Times New Roman" w:cs="Times New Roman"/>
          <w:sz w:val="24"/>
          <w:szCs w:val="24"/>
        </w:rPr>
        <w:t xml:space="preserve"> refers to a conference by </w:t>
      </w:r>
      <w:r w:rsidR="007A407F" w:rsidRPr="000C003C">
        <w:rPr>
          <w:rFonts w:ascii="Times New Roman" w:eastAsia="Times New Roman" w:hAnsi="Times New Roman" w:cs="Times New Roman"/>
          <w:sz w:val="24"/>
          <w:szCs w:val="24"/>
        </w:rPr>
        <w:t>Theodor Herzl as the supreme organ</w:t>
      </w:r>
      <w:r w:rsidR="00A17181" w:rsidRPr="000C003C">
        <w:rPr>
          <w:rFonts w:ascii="Times New Roman" w:eastAsia="Times New Roman" w:hAnsi="Times New Roman" w:cs="Times New Roman"/>
          <w:sz w:val="24"/>
          <w:szCs w:val="24"/>
        </w:rPr>
        <w:t xml:space="preserve"> of the Zionist Organization </w:t>
      </w:r>
      <w:r w:rsidR="00841826" w:rsidRPr="000C003C">
        <w:rPr>
          <w:rFonts w:ascii="Times New Roman" w:eastAsia="Times New Roman" w:hAnsi="Times New Roman" w:cs="Times New Roman"/>
          <w:sz w:val="24"/>
          <w:szCs w:val="24"/>
        </w:rPr>
        <w:t xml:space="preserve">and its legislative authority. </w:t>
      </w:r>
    </w:p>
    <w:p w14:paraId="00000014" w14:textId="12D9F501"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Chaim Weizmann</w:t>
      </w:r>
      <w:r w:rsidR="00841826" w:rsidRPr="000C003C">
        <w:rPr>
          <w:rFonts w:ascii="Times New Roman" w:eastAsia="Times New Roman" w:hAnsi="Times New Roman" w:cs="Times New Roman"/>
          <w:sz w:val="24"/>
          <w:szCs w:val="24"/>
        </w:rPr>
        <w:t xml:space="preserve"> was a Zionist leader who served as the Zionist Organization president and later as the first president of Israel. Played a secondary role behind David Ben-Gurion in the establishment of the Jewish state. </w:t>
      </w:r>
    </w:p>
    <w:p w14:paraId="00000015" w14:textId="1BF4B0BC"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Vladimir Jabotinsky</w:t>
      </w:r>
      <w:r w:rsidR="006053A0" w:rsidRPr="000C003C">
        <w:rPr>
          <w:rFonts w:ascii="Times New Roman" w:eastAsia="Times New Roman" w:hAnsi="Times New Roman" w:cs="Times New Roman"/>
          <w:sz w:val="24"/>
          <w:szCs w:val="24"/>
        </w:rPr>
        <w:t xml:space="preserve"> was a leading spokesman of the Russian Zionists </w:t>
      </w:r>
      <w:r w:rsidR="0013584A" w:rsidRPr="000C003C">
        <w:rPr>
          <w:rFonts w:ascii="Times New Roman" w:eastAsia="Times New Roman" w:hAnsi="Times New Roman" w:cs="Times New Roman"/>
          <w:sz w:val="24"/>
          <w:szCs w:val="24"/>
        </w:rPr>
        <w:t>who called for massive Jewish migration into Palestine. He believed that the British were capable of abandoning the Zionists and that the only way to achieve the Jewish majority required for independent statehood was by encouraging 50,000 immigrants to Palestine a year (253).</w:t>
      </w:r>
    </w:p>
    <w:p w14:paraId="00000016" w14:textId="43CC546E"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Revisionist Zionism</w:t>
      </w:r>
      <w:r w:rsidR="00224A91" w:rsidRPr="000C003C">
        <w:rPr>
          <w:rFonts w:ascii="Times New Roman" w:eastAsia="Times New Roman" w:hAnsi="Times New Roman" w:cs="Times New Roman"/>
          <w:sz w:val="24"/>
          <w:szCs w:val="24"/>
        </w:rPr>
        <w:t xml:space="preserve"> was a type of Zionism that was represented by a splinter group of Zionists who believed the British could be trusted in the </w:t>
      </w:r>
      <w:r w:rsidR="009A11C6" w:rsidRPr="000C003C">
        <w:rPr>
          <w:rFonts w:ascii="Times New Roman" w:eastAsia="Times New Roman" w:hAnsi="Times New Roman" w:cs="Times New Roman"/>
          <w:sz w:val="24"/>
          <w:szCs w:val="24"/>
        </w:rPr>
        <w:t>establishment</w:t>
      </w:r>
      <w:r w:rsidR="00224A91" w:rsidRPr="000C003C">
        <w:rPr>
          <w:rFonts w:ascii="Times New Roman" w:eastAsia="Times New Roman" w:hAnsi="Times New Roman" w:cs="Times New Roman"/>
          <w:sz w:val="24"/>
          <w:szCs w:val="24"/>
        </w:rPr>
        <w:t xml:space="preserve"> of the Jewish state</w:t>
      </w:r>
      <w:r w:rsidR="004C3DF3" w:rsidRPr="000C003C">
        <w:rPr>
          <w:rFonts w:ascii="Times New Roman" w:eastAsia="Times New Roman" w:hAnsi="Times New Roman" w:cs="Times New Roman"/>
          <w:sz w:val="24"/>
          <w:szCs w:val="24"/>
        </w:rPr>
        <w:t>. Revisionists Zionists actively condemned Weizmann’s strategy to rely on the Briti</w:t>
      </w:r>
      <w:r w:rsidR="0012369F" w:rsidRPr="000C003C">
        <w:rPr>
          <w:rFonts w:ascii="Times New Roman" w:eastAsia="Times New Roman" w:hAnsi="Times New Roman" w:cs="Times New Roman"/>
          <w:sz w:val="24"/>
          <w:szCs w:val="24"/>
        </w:rPr>
        <w:t>sh arguing that it was too slow (253).</w:t>
      </w:r>
    </w:p>
    <w:p w14:paraId="00000017" w14:textId="328B4BBE"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Irgun</w:t>
      </w:r>
      <w:r w:rsidR="0012369F" w:rsidRPr="000C003C">
        <w:rPr>
          <w:rFonts w:ascii="Times New Roman" w:eastAsia="Times New Roman" w:hAnsi="Times New Roman" w:cs="Times New Roman"/>
          <w:sz w:val="24"/>
          <w:szCs w:val="24"/>
        </w:rPr>
        <w:t xml:space="preserve"> refers to the military force in Palestine formed by the Revisionist Zionists which operated independently of the Haganah and the Jewish Agency</w:t>
      </w:r>
      <w:r w:rsidR="000A5A9B" w:rsidRPr="000C003C">
        <w:rPr>
          <w:rFonts w:ascii="Times New Roman" w:eastAsia="Times New Roman" w:hAnsi="Times New Roman" w:cs="Times New Roman"/>
          <w:sz w:val="24"/>
          <w:szCs w:val="24"/>
        </w:rPr>
        <w:t>.</w:t>
      </w:r>
    </w:p>
    <w:p w14:paraId="00000018" w14:textId="54025289"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w:t>
      </w:r>
      <w:r w:rsidRPr="000C003C">
        <w:rPr>
          <w:rFonts w:ascii="Times New Roman" w:eastAsia="Times New Roman" w:hAnsi="Times New Roman" w:cs="Times New Roman"/>
          <w:sz w:val="24"/>
          <w:szCs w:val="24"/>
          <w:vertAlign w:val="superscript"/>
        </w:rPr>
        <w:t>st</w:t>
      </w:r>
      <w:r w:rsidRPr="000C003C">
        <w:rPr>
          <w:rFonts w:ascii="Times New Roman" w:eastAsia="Times New Roman" w:hAnsi="Times New Roman" w:cs="Times New Roman"/>
          <w:sz w:val="24"/>
          <w:szCs w:val="24"/>
        </w:rPr>
        <w:t xml:space="preserve"> and 2</w:t>
      </w:r>
      <w:r w:rsidRPr="000C003C">
        <w:rPr>
          <w:rFonts w:ascii="Times New Roman" w:eastAsia="Times New Roman" w:hAnsi="Times New Roman" w:cs="Times New Roman"/>
          <w:sz w:val="24"/>
          <w:szCs w:val="24"/>
          <w:vertAlign w:val="superscript"/>
        </w:rPr>
        <w:t>nd</w:t>
      </w:r>
      <w:r w:rsidRPr="000C003C">
        <w:rPr>
          <w:rFonts w:ascii="Times New Roman" w:eastAsia="Times New Roman" w:hAnsi="Times New Roman" w:cs="Times New Roman"/>
          <w:sz w:val="24"/>
          <w:szCs w:val="24"/>
        </w:rPr>
        <w:t xml:space="preserve"> aliyahs –</w:t>
      </w:r>
      <w:r w:rsidR="00295F76" w:rsidRPr="000C003C">
        <w:rPr>
          <w:rFonts w:ascii="Times New Roman" w:eastAsia="Times New Roman" w:hAnsi="Times New Roman" w:cs="Times New Roman"/>
          <w:sz w:val="24"/>
          <w:szCs w:val="24"/>
        </w:rPr>
        <w:t xml:space="preserve"> the first phase of this migration took place before World War 1 (254). </w:t>
      </w:r>
    </w:p>
    <w:p w14:paraId="00000019" w14:textId="79B1188C"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3</w:t>
      </w:r>
      <w:r w:rsidRPr="000C003C">
        <w:rPr>
          <w:rFonts w:ascii="Times New Roman" w:eastAsia="Times New Roman" w:hAnsi="Times New Roman" w:cs="Times New Roman"/>
          <w:sz w:val="24"/>
          <w:szCs w:val="24"/>
          <w:vertAlign w:val="superscript"/>
        </w:rPr>
        <w:t>rd</w:t>
      </w:r>
      <w:r w:rsidRPr="000C003C">
        <w:rPr>
          <w:rFonts w:ascii="Times New Roman" w:eastAsia="Times New Roman" w:hAnsi="Times New Roman" w:cs="Times New Roman"/>
          <w:sz w:val="24"/>
          <w:szCs w:val="24"/>
        </w:rPr>
        <w:t xml:space="preserve"> Aliya – </w:t>
      </w:r>
      <w:r w:rsidR="00F065CE" w:rsidRPr="000C003C">
        <w:rPr>
          <w:rFonts w:ascii="Times New Roman" w:eastAsia="Times New Roman" w:hAnsi="Times New Roman" w:cs="Times New Roman"/>
          <w:sz w:val="24"/>
          <w:szCs w:val="24"/>
        </w:rPr>
        <w:t>took place between 1919 and 1923 (242).</w:t>
      </w:r>
    </w:p>
    <w:p w14:paraId="0000001A" w14:textId="1BD83881"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4</w:t>
      </w:r>
      <w:r w:rsidRPr="000C003C">
        <w:rPr>
          <w:rFonts w:ascii="Times New Roman" w:eastAsia="Times New Roman" w:hAnsi="Times New Roman" w:cs="Times New Roman"/>
          <w:sz w:val="24"/>
          <w:szCs w:val="24"/>
          <w:vertAlign w:val="superscript"/>
        </w:rPr>
        <w:t>th</w:t>
      </w:r>
      <w:r w:rsidRPr="000C003C">
        <w:rPr>
          <w:rFonts w:ascii="Times New Roman" w:eastAsia="Times New Roman" w:hAnsi="Times New Roman" w:cs="Times New Roman"/>
          <w:sz w:val="24"/>
          <w:szCs w:val="24"/>
        </w:rPr>
        <w:t xml:space="preserve"> </w:t>
      </w:r>
      <w:r w:rsidR="00F065CE" w:rsidRPr="000C003C">
        <w:rPr>
          <w:rFonts w:ascii="Times New Roman" w:eastAsia="Times New Roman" w:hAnsi="Times New Roman" w:cs="Times New Roman"/>
          <w:sz w:val="24"/>
          <w:szCs w:val="24"/>
        </w:rPr>
        <w:t>aliyahs</w:t>
      </w:r>
      <w:r w:rsidRPr="000C003C">
        <w:rPr>
          <w:rFonts w:ascii="Times New Roman" w:eastAsia="Times New Roman" w:hAnsi="Times New Roman" w:cs="Times New Roman"/>
          <w:sz w:val="24"/>
          <w:szCs w:val="24"/>
        </w:rPr>
        <w:t xml:space="preserve"> </w:t>
      </w:r>
      <w:r w:rsidR="00F065CE" w:rsidRPr="000C003C">
        <w:rPr>
          <w:rFonts w:ascii="Times New Roman" w:eastAsia="Times New Roman" w:hAnsi="Times New Roman" w:cs="Times New Roman"/>
          <w:sz w:val="24"/>
          <w:szCs w:val="24"/>
        </w:rPr>
        <w:t>–</w:t>
      </w:r>
      <w:r w:rsidRPr="000C003C">
        <w:rPr>
          <w:rFonts w:ascii="Times New Roman" w:eastAsia="Times New Roman" w:hAnsi="Times New Roman" w:cs="Times New Roman"/>
          <w:sz w:val="24"/>
          <w:szCs w:val="24"/>
        </w:rPr>
        <w:t xml:space="preserve"> </w:t>
      </w:r>
      <w:r w:rsidR="00F065CE" w:rsidRPr="000C003C">
        <w:rPr>
          <w:rFonts w:ascii="Times New Roman" w:eastAsia="Times New Roman" w:hAnsi="Times New Roman" w:cs="Times New Roman"/>
          <w:sz w:val="24"/>
          <w:szCs w:val="24"/>
        </w:rPr>
        <w:t>happened between 1924 and 1926 (254).</w:t>
      </w:r>
    </w:p>
    <w:p w14:paraId="0000001B" w14:textId="43201378"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“5</w:t>
      </w:r>
      <w:r w:rsidRPr="000C003C">
        <w:rPr>
          <w:rFonts w:ascii="Times New Roman" w:eastAsia="Times New Roman" w:hAnsi="Times New Roman" w:cs="Times New Roman"/>
          <w:sz w:val="24"/>
          <w:szCs w:val="24"/>
          <w:vertAlign w:val="superscript"/>
        </w:rPr>
        <w:t>th</w:t>
      </w:r>
      <w:r w:rsidRPr="000C003C">
        <w:rPr>
          <w:rFonts w:ascii="Times New Roman" w:eastAsia="Times New Roman" w:hAnsi="Times New Roman" w:cs="Times New Roman"/>
          <w:sz w:val="24"/>
          <w:szCs w:val="24"/>
        </w:rPr>
        <w:t xml:space="preserve"> Aliya” or 5</w:t>
      </w:r>
      <w:r w:rsidRPr="000C003C">
        <w:rPr>
          <w:rFonts w:ascii="Times New Roman" w:eastAsia="Times New Roman" w:hAnsi="Times New Roman" w:cs="Times New Roman"/>
          <w:sz w:val="24"/>
          <w:szCs w:val="24"/>
          <w:vertAlign w:val="superscript"/>
        </w:rPr>
        <w:t>th</w:t>
      </w:r>
      <w:r w:rsidRPr="000C003C">
        <w:rPr>
          <w:rFonts w:ascii="Times New Roman" w:eastAsia="Times New Roman" w:hAnsi="Times New Roman" w:cs="Times New Roman"/>
          <w:sz w:val="24"/>
          <w:szCs w:val="24"/>
        </w:rPr>
        <w:t xml:space="preserve"> wave</w:t>
      </w:r>
      <w:r w:rsidR="00F065CE" w:rsidRPr="000C003C">
        <w:rPr>
          <w:rFonts w:ascii="Times New Roman" w:eastAsia="Times New Roman" w:hAnsi="Times New Roman" w:cs="Times New Roman"/>
          <w:sz w:val="24"/>
          <w:szCs w:val="24"/>
        </w:rPr>
        <w:t xml:space="preserve"> happened from 1933 through to 1936 where about 170,000 Jews migrated into Palestine (254).</w:t>
      </w:r>
    </w:p>
    <w:p w14:paraId="0000001C" w14:textId="110B4C22"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Menachem Begin</w:t>
      </w:r>
      <w:r w:rsidR="00A31999" w:rsidRPr="000C003C">
        <w:rPr>
          <w:rFonts w:ascii="Times New Roman" w:eastAsia="Times New Roman" w:hAnsi="Times New Roman" w:cs="Times New Roman"/>
          <w:sz w:val="24"/>
          <w:szCs w:val="24"/>
        </w:rPr>
        <w:t xml:space="preserve"> was revisionist Zionist acting alongside Yitzhak Shamir after Jabotinsky's death to help in reviving the uncompromising Zionism of their former leader (253). </w:t>
      </w:r>
    </w:p>
    <w:p w14:paraId="0000001D" w14:textId="0CB36CEF"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The National Fund</w:t>
      </w:r>
      <w:r w:rsidR="00A31999" w:rsidRPr="000C003C">
        <w:rPr>
          <w:rFonts w:ascii="Times New Roman" w:eastAsia="Times New Roman" w:hAnsi="Times New Roman" w:cs="Times New Roman"/>
          <w:sz w:val="24"/>
          <w:szCs w:val="24"/>
        </w:rPr>
        <w:t xml:space="preserve"> refers to a fund scheme </w:t>
      </w:r>
      <w:r w:rsidR="00834704" w:rsidRPr="000C003C">
        <w:rPr>
          <w:rFonts w:ascii="Times New Roman" w:eastAsia="Times New Roman" w:hAnsi="Times New Roman" w:cs="Times New Roman"/>
          <w:sz w:val="24"/>
          <w:szCs w:val="24"/>
        </w:rPr>
        <w:t>founded in 1901 to buy and develop the land in Ottoman Palestine.</w:t>
      </w:r>
    </w:p>
    <w:p w14:paraId="0000001E" w14:textId="67A4F939"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Sursock family</w:t>
      </w:r>
      <w:r w:rsidR="00B13854" w:rsidRPr="000C003C">
        <w:rPr>
          <w:rFonts w:ascii="Times New Roman" w:eastAsia="Times New Roman" w:hAnsi="Times New Roman" w:cs="Times New Roman"/>
          <w:sz w:val="24"/>
          <w:szCs w:val="24"/>
        </w:rPr>
        <w:t xml:space="preserve"> is regarded as the first family which sold the largest piece of </w:t>
      </w:r>
      <w:r w:rsidR="004E0AE6" w:rsidRPr="000C003C">
        <w:rPr>
          <w:rFonts w:ascii="Times New Roman" w:eastAsia="Times New Roman" w:hAnsi="Times New Roman" w:cs="Times New Roman"/>
          <w:sz w:val="24"/>
          <w:szCs w:val="24"/>
        </w:rPr>
        <w:t>the 50,000</w:t>
      </w:r>
      <w:r w:rsidR="000730FA" w:rsidRPr="000C003C">
        <w:rPr>
          <w:rFonts w:ascii="Times New Roman" w:eastAsia="Times New Roman" w:hAnsi="Times New Roman" w:cs="Times New Roman"/>
          <w:sz w:val="24"/>
          <w:szCs w:val="24"/>
        </w:rPr>
        <w:t xml:space="preserve"> acres of the fertile </w:t>
      </w:r>
      <w:r w:rsidR="00B13854" w:rsidRPr="000C003C">
        <w:rPr>
          <w:rFonts w:ascii="Times New Roman" w:eastAsia="Times New Roman" w:hAnsi="Times New Roman" w:cs="Times New Roman"/>
          <w:sz w:val="24"/>
          <w:szCs w:val="24"/>
        </w:rPr>
        <w:t xml:space="preserve">Jezreel valley to the Jewish National Fund </w:t>
      </w:r>
      <w:r w:rsidR="004E0AE6" w:rsidRPr="000C003C">
        <w:rPr>
          <w:rFonts w:ascii="Times New Roman" w:eastAsia="Times New Roman" w:hAnsi="Times New Roman" w:cs="Times New Roman"/>
          <w:sz w:val="24"/>
          <w:szCs w:val="24"/>
        </w:rPr>
        <w:t>in 1920 (255).</w:t>
      </w:r>
    </w:p>
    <w:p w14:paraId="0000001F" w14:textId="2271EE35"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 xml:space="preserve">Wailing Wall </w:t>
      </w:r>
      <w:r w:rsidRPr="000C003C">
        <w:rPr>
          <w:rFonts w:ascii="Times New Roman" w:eastAsia="Times New Roman" w:hAnsi="Times New Roman" w:cs="Times New Roman"/>
          <w:sz w:val="24"/>
          <w:szCs w:val="24"/>
        </w:rPr>
        <w:t>disturbance 1929</w:t>
      </w:r>
      <w:r w:rsidR="004E0AE6" w:rsidRPr="000C003C">
        <w:rPr>
          <w:rFonts w:ascii="Times New Roman" w:eastAsia="Times New Roman" w:hAnsi="Times New Roman" w:cs="Times New Roman"/>
          <w:sz w:val="24"/>
          <w:szCs w:val="24"/>
        </w:rPr>
        <w:t xml:space="preserve"> refers to one of the two major disruptions of communal violence </w:t>
      </w:r>
      <w:r w:rsidR="003F4C69" w:rsidRPr="000C003C">
        <w:rPr>
          <w:rFonts w:ascii="Times New Roman" w:eastAsia="Times New Roman" w:hAnsi="Times New Roman" w:cs="Times New Roman"/>
          <w:sz w:val="24"/>
          <w:szCs w:val="24"/>
        </w:rPr>
        <w:t xml:space="preserve">during the interwar years which directly relates to the dislocations caused by migration </w:t>
      </w:r>
      <w:r w:rsidR="00BD4D24" w:rsidRPr="000C003C">
        <w:rPr>
          <w:rFonts w:ascii="Times New Roman" w:eastAsia="Times New Roman" w:hAnsi="Times New Roman" w:cs="Times New Roman"/>
          <w:sz w:val="24"/>
          <w:szCs w:val="24"/>
        </w:rPr>
        <w:t>and land transfers (256).</w:t>
      </w:r>
    </w:p>
    <w:p w14:paraId="00000020" w14:textId="06B4752F"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Shaw Commission</w:t>
      </w:r>
      <w:r w:rsidR="00BD4D24" w:rsidRPr="000C003C">
        <w:rPr>
          <w:rFonts w:ascii="Times New Roman" w:eastAsia="Times New Roman" w:hAnsi="Times New Roman" w:cs="Times New Roman"/>
          <w:sz w:val="24"/>
          <w:szCs w:val="24"/>
        </w:rPr>
        <w:t xml:space="preserve"> is the commission that recommended </w:t>
      </w:r>
      <w:r w:rsidR="0010146B" w:rsidRPr="000C003C">
        <w:rPr>
          <w:rFonts w:ascii="Times New Roman" w:eastAsia="Times New Roman" w:hAnsi="Times New Roman" w:cs="Times New Roman"/>
          <w:sz w:val="24"/>
          <w:szCs w:val="24"/>
        </w:rPr>
        <w:t xml:space="preserve">that British obligations to the Arab community </w:t>
      </w:r>
      <w:r w:rsidR="00592592" w:rsidRPr="000C003C">
        <w:rPr>
          <w:rFonts w:ascii="Times New Roman" w:eastAsia="Times New Roman" w:hAnsi="Times New Roman" w:cs="Times New Roman"/>
          <w:sz w:val="24"/>
          <w:szCs w:val="24"/>
        </w:rPr>
        <w:t xml:space="preserve">needed to </w:t>
      </w:r>
      <w:r w:rsidR="005F32E2" w:rsidRPr="000C003C">
        <w:rPr>
          <w:rFonts w:ascii="Times New Roman" w:eastAsia="Times New Roman" w:hAnsi="Times New Roman" w:cs="Times New Roman"/>
          <w:sz w:val="24"/>
          <w:szCs w:val="24"/>
        </w:rPr>
        <w:t>precisely</w:t>
      </w:r>
      <w:r w:rsidR="00592592" w:rsidRPr="000C003C">
        <w:rPr>
          <w:rFonts w:ascii="Times New Roman" w:eastAsia="Times New Roman" w:hAnsi="Times New Roman" w:cs="Times New Roman"/>
          <w:sz w:val="24"/>
          <w:szCs w:val="24"/>
        </w:rPr>
        <w:t xml:space="preserve"> defined </w:t>
      </w:r>
      <w:r w:rsidR="00D5301B" w:rsidRPr="000C003C">
        <w:rPr>
          <w:rFonts w:ascii="Times New Roman" w:eastAsia="Times New Roman" w:hAnsi="Times New Roman" w:cs="Times New Roman"/>
          <w:sz w:val="24"/>
          <w:szCs w:val="24"/>
        </w:rPr>
        <w:t>and that Jewish immigration was to be under the direct control of the British, and that Arab evictions needed to be stopped (257).</w:t>
      </w:r>
    </w:p>
    <w:p w14:paraId="00000021" w14:textId="668BBAE9"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1930 Passfield White Paper</w:t>
      </w:r>
      <w:r w:rsidR="00B6546D" w:rsidRPr="000C003C">
        <w:rPr>
          <w:rFonts w:ascii="Times New Roman" w:eastAsia="Times New Roman" w:hAnsi="Times New Roman" w:cs="Times New Roman"/>
          <w:sz w:val="24"/>
          <w:szCs w:val="24"/>
        </w:rPr>
        <w:t xml:space="preserve"> refers to a document containing recommendations made by the HopeSimpson Commission stressing on Britain’s dual obligation as the mandatory power and stated the government’s intention to set aside land for settling the </w:t>
      </w:r>
      <w:r w:rsidR="00F838DF" w:rsidRPr="000C003C">
        <w:rPr>
          <w:rFonts w:ascii="Times New Roman" w:eastAsia="Times New Roman" w:hAnsi="Times New Roman" w:cs="Times New Roman"/>
          <w:sz w:val="24"/>
          <w:szCs w:val="24"/>
        </w:rPr>
        <w:t>landless Arab peasants</w:t>
      </w:r>
      <w:r w:rsidR="00EE618B" w:rsidRPr="000C003C">
        <w:rPr>
          <w:rFonts w:ascii="Times New Roman" w:eastAsia="Times New Roman" w:hAnsi="Times New Roman" w:cs="Times New Roman"/>
          <w:sz w:val="24"/>
          <w:szCs w:val="24"/>
        </w:rPr>
        <w:t xml:space="preserve"> (257).</w:t>
      </w:r>
    </w:p>
    <w:p w14:paraId="00000022" w14:textId="11446F7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The Bla</w:t>
      </w:r>
      <w:r w:rsidRPr="000C003C">
        <w:rPr>
          <w:rFonts w:ascii="Times New Roman" w:eastAsia="Times New Roman" w:hAnsi="Times New Roman" w:cs="Times New Roman"/>
          <w:sz w:val="24"/>
          <w:szCs w:val="24"/>
        </w:rPr>
        <w:t>ck Letter 1931</w:t>
      </w:r>
      <w:r w:rsidR="00EE618B" w:rsidRPr="000C003C">
        <w:rPr>
          <w:rFonts w:ascii="Times New Roman" w:eastAsia="Times New Roman" w:hAnsi="Times New Roman" w:cs="Times New Roman"/>
          <w:sz w:val="24"/>
          <w:szCs w:val="24"/>
        </w:rPr>
        <w:t xml:space="preserve"> </w:t>
      </w:r>
      <w:r w:rsidR="00285FDB" w:rsidRPr="000C003C">
        <w:rPr>
          <w:rFonts w:ascii="Times New Roman" w:eastAsia="Times New Roman" w:hAnsi="Times New Roman" w:cs="Times New Roman"/>
          <w:sz w:val="24"/>
          <w:szCs w:val="24"/>
        </w:rPr>
        <w:t>refers</w:t>
      </w:r>
      <w:r w:rsidR="00EE618B" w:rsidRPr="000C003C">
        <w:rPr>
          <w:rFonts w:ascii="Times New Roman" w:eastAsia="Times New Roman" w:hAnsi="Times New Roman" w:cs="Times New Roman"/>
          <w:sz w:val="24"/>
          <w:szCs w:val="24"/>
        </w:rPr>
        <w:t xml:space="preserve"> t</w:t>
      </w:r>
      <w:r w:rsidR="00285FDB" w:rsidRPr="000C003C">
        <w:rPr>
          <w:rFonts w:ascii="Times New Roman" w:eastAsia="Times New Roman" w:hAnsi="Times New Roman" w:cs="Times New Roman"/>
          <w:sz w:val="24"/>
          <w:szCs w:val="24"/>
        </w:rPr>
        <w:t>o</w:t>
      </w:r>
      <w:r w:rsidR="00EE618B" w:rsidRPr="000C003C">
        <w:rPr>
          <w:rFonts w:ascii="Times New Roman" w:eastAsia="Times New Roman" w:hAnsi="Times New Roman" w:cs="Times New Roman"/>
          <w:sz w:val="24"/>
          <w:szCs w:val="24"/>
        </w:rPr>
        <w:t xml:space="preserve"> </w:t>
      </w:r>
      <w:r w:rsidR="00285FDB" w:rsidRPr="000C003C">
        <w:rPr>
          <w:rFonts w:ascii="Times New Roman" w:eastAsia="Times New Roman" w:hAnsi="Times New Roman" w:cs="Times New Roman"/>
          <w:sz w:val="24"/>
          <w:szCs w:val="24"/>
        </w:rPr>
        <w:t>a letter</w:t>
      </w:r>
      <w:r w:rsidR="00EE618B" w:rsidRPr="000C003C">
        <w:rPr>
          <w:rFonts w:ascii="Times New Roman" w:eastAsia="Times New Roman" w:hAnsi="Times New Roman" w:cs="Times New Roman"/>
          <w:sz w:val="24"/>
          <w:szCs w:val="24"/>
        </w:rPr>
        <w:t xml:space="preserve"> from the British to Weizmann </w:t>
      </w:r>
      <w:r w:rsidR="00285FDB" w:rsidRPr="000C003C">
        <w:rPr>
          <w:rFonts w:ascii="Times New Roman" w:eastAsia="Times New Roman" w:hAnsi="Times New Roman" w:cs="Times New Roman"/>
          <w:sz w:val="24"/>
          <w:szCs w:val="24"/>
        </w:rPr>
        <w:t>clarif</w:t>
      </w:r>
      <w:r w:rsidR="00D1492B" w:rsidRPr="000C003C">
        <w:rPr>
          <w:rFonts w:ascii="Times New Roman" w:eastAsia="Times New Roman" w:hAnsi="Times New Roman" w:cs="Times New Roman"/>
          <w:sz w:val="24"/>
          <w:szCs w:val="24"/>
        </w:rPr>
        <w:t xml:space="preserve">ying </w:t>
      </w:r>
      <w:r w:rsidR="00285FDB" w:rsidRPr="000C003C">
        <w:rPr>
          <w:rFonts w:ascii="Times New Roman" w:eastAsia="Times New Roman" w:hAnsi="Times New Roman" w:cs="Times New Roman"/>
          <w:sz w:val="24"/>
          <w:szCs w:val="24"/>
        </w:rPr>
        <w:t xml:space="preserve">the contents of the white paper. This letter mainly aimed at placating the Zionists while disturbing the Arabs as little as possible. Zionists thought the paper was a withdrawal of the </w:t>
      </w:r>
      <w:r w:rsidR="00595E54" w:rsidRPr="000C003C">
        <w:rPr>
          <w:rFonts w:ascii="Times New Roman" w:eastAsia="Times New Roman" w:hAnsi="Times New Roman" w:cs="Times New Roman"/>
          <w:sz w:val="24"/>
          <w:szCs w:val="24"/>
        </w:rPr>
        <w:t>white paper thus the name (257).</w:t>
      </w:r>
    </w:p>
    <w:p w14:paraId="00000023" w14:textId="66CB41E6"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Bus attack / Response</w:t>
      </w:r>
      <w:r w:rsidR="007C7C75" w:rsidRPr="000C003C">
        <w:rPr>
          <w:rFonts w:ascii="Times New Roman" w:eastAsia="Times New Roman" w:hAnsi="Times New Roman" w:cs="Times New Roman"/>
          <w:sz w:val="24"/>
          <w:szCs w:val="24"/>
        </w:rPr>
        <w:t xml:space="preserve"> refers to an incident when an armed Arab band robbed a bus subsequently killing a Jewish passenger. The Haganah responded swiftly killing two Arab farmers (258). </w:t>
      </w:r>
    </w:p>
    <w:p w14:paraId="00000024" w14:textId="75BAEEAD"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1936 General Strike</w:t>
      </w:r>
      <w:r w:rsidR="001473AF" w:rsidRPr="000C003C">
        <w:rPr>
          <w:rFonts w:ascii="Times New Roman" w:eastAsia="Times New Roman" w:hAnsi="Times New Roman" w:cs="Times New Roman"/>
          <w:sz w:val="24"/>
          <w:szCs w:val="24"/>
        </w:rPr>
        <w:t xml:space="preserve"> refers mainly to </w:t>
      </w:r>
      <w:r w:rsidR="00F965FB" w:rsidRPr="000C003C">
        <w:rPr>
          <w:rFonts w:ascii="Times New Roman" w:eastAsia="Times New Roman" w:hAnsi="Times New Roman" w:cs="Times New Roman"/>
          <w:sz w:val="24"/>
          <w:szCs w:val="24"/>
        </w:rPr>
        <w:t xml:space="preserve">violence that swept </w:t>
      </w:r>
      <w:r w:rsidR="0015524E" w:rsidRPr="000C003C">
        <w:rPr>
          <w:rFonts w:ascii="Times New Roman" w:eastAsia="Times New Roman" w:hAnsi="Times New Roman" w:cs="Times New Roman"/>
          <w:sz w:val="24"/>
          <w:szCs w:val="24"/>
        </w:rPr>
        <w:t>Palestine</w:t>
      </w:r>
      <w:r w:rsidR="00F965FB" w:rsidRPr="000C003C">
        <w:rPr>
          <w:rFonts w:ascii="Times New Roman" w:eastAsia="Times New Roman" w:hAnsi="Times New Roman" w:cs="Times New Roman"/>
          <w:sz w:val="24"/>
          <w:szCs w:val="24"/>
        </w:rPr>
        <w:t xml:space="preserve"> </w:t>
      </w:r>
      <w:r w:rsidR="007C7C75" w:rsidRPr="000C003C">
        <w:rPr>
          <w:rFonts w:ascii="Times New Roman" w:eastAsia="Times New Roman" w:hAnsi="Times New Roman" w:cs="Times New Roman"/>
          <w:sz w:val="24"/>
          <w:szCs w:val="24"/>
        </w:rPr>
        <w:t xml:space="preserve">in the summer of 1936, </w:t>
      </w:r>
      <w:r w:rsidR="0015524E" w:rsidRPr="000C003C">
        <w:rPr>
          <w:rFonts w:ascii="Times New Roman" w:eastAsia="Times New Roman" w:hAnsi="Times New Roman" w:cs="Times New Roman"/>
          <w:sz w:val="24"/>
          <w:szCs w:val="24"/>
        </w:rPr>
        <w:t xml:space="preserve">a spontaneous reaction against Zionism, British imperialism, and </w:t>
      </w:r>
      <w:r w:rsidR="007C7C75" w:rsidRPr="000C003C">
        <w:rPr>
          <w:rFonts w:ascii="Times New Roman" w:eastAsia="Times New Roman" w:hAnsi="Times New Roman" w:cs="Times New Roman"/>
          <w:sz w:val="24"/>
          <w:szCs w:val="24"/>
        </w:rPr>
        <w:t>the entrenched Arab leadership (258).</w:t>
      </w:r>
    </w:p>
    <w:p w14:paraId="00000025" w14:textId="54AE23D5"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Arab Higher Commission</w:t>
      </w:r>
      <w:r w:rsidR="007C7C75" w:rsidRPr="000C003C">
        <w:rPr>
          <w:rFonts w:ascii="Times New Roman" w:eastAsia="Times New Roman" w:hAnsi="Times New Roman" w:cs="Times New Roman"/>
          <w:sz w:val="24"/>
          <w:szCs w:val="24"/>
        </w:rPr>
        <w:t xml:space="preserve"> was a national organization formed by the Arab leaders in response to the push of the popular resistance from below. The commission was to attempt at unifying the Arab factions within the Palestinian elite (258).</w:t>
      </w:r>
    </w:p>
    <w:p w14:paraId="00000026" w14:textId="79513A3E"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1937 Peel Commission</w:t>
      </w:r>
      <w:r w:rsidR="003217FD" w:rsidRPr="000C003C">
        <w:rPr>
          <w:rFonts w:ascii="Times New Roman" w:eastAsia="Times New Roman" w:hAnsi="Times New Roman" w:cs="Times New Roman"/>
          <w:sz w:val="24"/>
          <w:szCs w:val="24"/>
        </w:rPr>
        <w:t xml:space="preserve"> refers to the investigative commission sent by the British to Palestine. This commission was chaired by Lord Peel issued its report in 1937 indicating that the premise on which the mandate was based was untenable: </w:t>
      </w:r>
      <w:r w:rsidR="003217FD" w:rsidRPr="000C003C">
        <w:rPr>
          <w:rFonts w:ascii="Times New Roman" w:eastAsia="Times New Roman" w:hAnsi="Times New Roman" w:cs="Times New Roman"/>
          <w:i/>
          <w:sz w:val="24"/>
          <w:szCs w:val="24"/>
        </w:rPr>
        <w:t>a unitary state could not be created out of the contradictory obligations contained in the Balfour Declaration</w:t>
      </w:r>
      <w:r w:rsidR="003217FD" w:rsidRPr="000C003C">
        <w:rPr>
          <w:rFonts w:ascii="Times New Roman" w:eastAsia="Times New Roman" w:hAnsi="Times New Roman" w:cs="Times New Roman"/>
          <w:sz w:val="24"/>
          <w:szCs w:val="24"/>
        </w:rPr>
        <w:t xml:space="preserve"> (259).</w:t>
      </w:r>
    </w:p>
    <w:p w14:paraId="00000027" w14:textId="7465FA37"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World</w:t>
      </w:r>
      <w:r w:rsidRPr="000C003C">
        <w:rPr>
          <w:rFonts w:ascii="Times New Roman" w:eastAsia="Times New Roman" w:hAnsi="Times New Roman" w:cs="Times New Roman"/>
          <w:sz w:val="24"/>
          <w:szCs w:val="24"/>
        </w:rPr>
        <w:t xml:space="preserve"> Zionist Congress 1937 Partition stance</w:t>
      </w:r>
      <w:r w:rsidR="00592A56" w:rsidRPr="000C003C">
        <w:rPr>
          <w:rFonts w:ascii="Times New Roman" w:eastAsia="Times New Roman" w:hAnsi="Times New Roman" w:cs="Times New Roman"/>
          <w:sz w:val="24"/>
          <w:szCs w:val="24"/>
        </w:rPr>
        <w:t xml:space="preserve">: on their part, the Zionists favored the partitioning principle but argued that the territory </w:t>
      </w:r>
      <w:r w:rsidR="00A64955" w:rsidRPr="000C003C">
        <w:rPr>
          <w:rFonts w:ascii="Times New Roman" w:eastAsia="Times New Roman" w:hAnsi="Times New Roman" w:cs="Times New Roman"/>
          <w:sz w:val="24"/>
          <w:szCs w:val="24"/>
        </w:rPr>
        <w:t>allocated</w:t>
      </w:r>
      <w:r w:rsidR="00592A56" w:rsidRPr="000C003C">
        <w:rPr>
          <w:rFonts w:ascii="Times New Roman" w:eastAsia="Times New Roman" w:hAnsi="Times New Roman" w:cs="Times New Roman"/>
          <w:sz w:val="24"/>
          <w:szCs w:val="24"/>
        </w:rPr>
        <w:t xml:space="preserve"> to </w:t>
      </w:r>
      <w:r w:rsidR="00D6069A" w:rsidRPr="000C003C">
        <w:rPr>
          <w:rFonts w:ascii="Times New Roman" w:eastAsia="Times New Roman" w:hAnsi="Times New Roman" w:cs="Times New Roman"/>
          <w:sz w:val="24"/>
          <w:szCs w:val="24"/>
        </w:rPr>
        <w:t>the Jewish state was inadequate (259).</w:t>
      </w:r>
    </w:p>
    <w:p w14:paraId="00000028" w14:textId="68C3888A"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Great Revolt</w:t>
      </w:r>
      <w:r w:rsidR="00D6069A" w:rsidRPr="000C003C">
        <w:rPr>
          <w:rFonts w:ascii="Times New Roman" w:eastAsia="Times New Roman" w:hAnsi="Times New Roman" w:cs="Times New Roman"/>
          <w:sz w:val="24"/>
          <w:szCs w:val="24"/>
        </w:rPr>
        <w:t xml:space="preserve">, as a response to the British, </w:t>
      </w:r>
      <w:r w:rsidR="00A153A3" w:rsidRPr="000C003C">
        <w:rPr>
          <w:rFonts w:ascii="Times New Roman" w:eastAsia="Times New Roman" w:hAnsi="Times New Roman" w:cs="Times New Roman"/>
          <w:sz w:val="24"/>
          <w:szCs w:val="24"/>
        </w:rPr>
        <w:t xml:space="preserve">great revolt is </w:t>
      </w:r>
      <w:r w:rsidR="00455597" w:rsidRPr="000C003C">
        <w:rPr>
          <w:rFonts w:ascii="Times New Roman" w:eastAsia="Times New Roman" w:hAnsi="Times New Roman" w:cs="Times New Roman"/>
          <w:sz w:val="24"/>
          <w:szCs w:val="24"/>
        </w:rPr>
        <w:t>considered as</w:t>
      </w:r>
      <w:r w:rsidR="00A153A3" w:rsidRPr="000C003C">
        <w:rPr>
          <w:rFonts w:ascii="Times New Roman" w:eastAsia="Times New Roman" w:hAnsi="Times New Roman" w:cs="Times New Roman"/>
          <w:sz w:val="24"/>
          <w:szCs w:val="24"/>
        </w:rPr>
        <w:t xml:space="preserve"> a major communal disruption that occurred between 1936 and 1939. Investigative reports indicate the unworkable nature of the mandate as the major cause of this revolt alongside </w:t>
      </w:r>
      <w:r w:rsidR="00044D13" w:rsidRPr="000C003C">
        <w:rPr>
          <w:rFonts w:ascii="Times New Roman" w:eastAsia="Times New Roman" w:hAnsi="Times New Roman" w:cs="Times New Roman"/>
          <w:sz w:val="24"/>
          <w:szCs w:val="24"/>
        </w:rPr>
        <w:t>the wailing wall disturbance (256).</w:t>
      </w:r>
    </w:p>
    <w:p w14:paraId="00000029" w14:textId="366F5B28"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Tarbush/kufiya (you'll have to look the</w:t>
      </w:r>
      <w:r w:rsidRPr="000C003C">
        <w:rPr>
          <w:rFonts w:ascii="Times New Roman" w:eastAsia="Times New Roman" w:hAnsi="Times New Roman" w:cs="Times New Roman"/>
          <w:sz w:val="24"/>
          <w:szCs w:val="24"/>
        </w:rPr>
        <w:t>se up)</w:t>
      </w:r>
      <w:r w:rsidR="00044D13" w:rsidRPr="000C003C">
        <w:rPr>
          <w:rFonts w:ascii="Times New Roman" w:eastAsia="Times New Roman" w:hAnsi="Times New Roman" w:cs="Times New Roman"/>
          <w:sz w:val="24"/>
          <w:szCs w:val="24"/>
        </w:rPr>
        <w:t xml:space="preserve"> is </w:t>
      </w:r>
      <w:r w:rsidR="008B1F6C" w:rsidRPr="000C003C">
        <w:rPr>
          <w:rFonts w:ascii="Times New Roman" w:eastAsia="Times New Roman" w:hAnsi="Times New Roman" w:cs="Times New Roman"/>
          <w:sz w:val="24"/>
          <w:szCs w:val="24"/>
        </w:rPr>
        <w:t xml:space="preserve">an Arabian </w:t>
      </w:r>
      <w:r w:rsidR="00044D13" w:rsidRPr="000C003C">
        <w:rPr>
          <w:rFonts w:ascii="Times New Roman" w:eastAsia="Times New Roman" w:hAnsi="Times New Roman" w:cs="Times New Roman"/>
          <w:sz w:val="24"/>
          <w:szCs w:val="24"/>
        </w:rPr>
        <w:t xml:space="preserve">traditional headdress </w:t>
      </w:r>
      <w:r w:rsidR="00AC539F" w:rsidRPr="000C003C">
        <w:rPr>
          <w:rFonts w:ascii="Times New Roman" w:eastAsia="Times New Roman" w:hAnsi="Times New Roman" w:cs="Times New Roman"/>
          <w:sz w:val="24"/>
          <w:szCs w:val="24"/>
        </w:rPr>
        <w:t>fashioned from a square scarf</w:t>
      </w:r>
      <w:r w:rsidR="002B338A" w:rsidRPr="000C003C">
        <w:rPr>
          <w:rFonts w:ascii="Times New Roman" w:eastAsia="Times New Roman" w:hAnsi="Times New Roman" w:cs="Times New Roman"/>
          <w:sz w:val="24"/>
          <w:szCs w:val="24"/>
        </w:rPr>
        <w:t xml:space="preserve"> and is usually made of cotton (260).</w:t>
      </w:r>
    </w:p>
    <w:p w14:paraId="0000002A" w14:textId="7329040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1939 White Paper</w:t>
      </w:r>
      <w:r w:rsidR="00976595" w:rsidRPr="000C003C">
        <w:rPr>
          <w:rFonts w:ascii="Times New Roman" w:eastAsia="Times New Roman" w:hAnsi="Times New Roman" w:cs="Times New Roman"/>
          <w:sz w:val="24"/>
          <w:szCs w:val="24"/>
        </w:rPr>
        <w:t xml:space="preserve"> refers to a policy document formulated by the British announcing that "His Majesty's Government therefore now declare unequivocally that it is not part of their policy that Palestine should become a Jewish State." The document declared that Jewish immigration into Palestine would be limited </w:t>
      </w:r>
      <w:r w:rsidR="002B338A" w:rsidRPr="000C003C">
        <w:rPr>
          <w:rFonts w:ascii="Times New Roman" w:eastAsia="Times New Roman" w:hAnsi="Times New Roman" w:cs="Times New Roman"/>
          <w:sz w:val="24"/>
          <w:szCs w:val="24"/>
        </w:rPr>
        <w:t>to about 15,000 per year (260).</w:t>
      </w:r>
    </w:p>
    <w:p w14:paraId="0000002B" w14:textId="77777777"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Yishuv’s ‘conflicting policies’: fighting with the British in</w:t>
      </w:r>
      <w:r w:rsidRPr="000C003C">
        <w:rPr>
          <w:rFonts w:ascii="Times New Roman" w:eastAsia="Times New Roman" w:hAnsi="Times New Roman" w:cs="Times New Roman"/>
          <w:sz w:val="24"/>
          <w:szCs w:val="24"/>
        </w:rPr>
        <w:t xml:space="preserve"> Europe, fighting against them in Palestine</w:t>
      </w:r>
    </w:p>
    <w:p w14:paraId="0000002C" w14:textId="77777777"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 xml:space="preserve">Three phases of intercommunal war -  </w:t>
      </w:r>
    </w:p>
    <w:p w14:paraId="0000002D" w14:textId="58D206B3" w:rsidR="00E13F1F" w:rsidRPr="000C003C" w:rsidRDefault="009264E3" w:rsidP="000C003C">
      <w:pPr>
        <w:spacing w:line="480" w:lineRule="auto"/>
        <w:ind w:left="720"/>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1945-1947:</w:t>
      </w:r>
      <w:r w:rsidR="00373778" w:rsidRPr="000C003C">
        <w:rPr>
          <w:rFonts w:ascii="Times New Roman" w:eastAsia="Times New Roman" w:hAnsi="Times New Roman" w:cs="Times New Roman"/>
          <w:sz w:val="24"/>
          <w:szCs w:val="24"/>
        </w:rPr>
        <w:t xml:space="preserve"> during this period, the Yishuv campaigned for sabotage against</w:t>
      </w:r>
      <w:r w:rsidR="00C67CF1" w:rsidRPr="000C003C">
        <w:rPr>
          <w:rFonts w:ascii="Times New Roman" w:eastAsia="Times New Roman" w:hAnsi="Times New Roman" w:cs="Times New Roman"/>
          <w:sz w:val="24"/>
          <w:szCs w:val="24"/>
        </w:rPr>
        <w:t xml:space="preserve"> the British administration in Palestine (262).</w:t>
      </w:r>
      <w:r w:rsidR="00373778" w:rsidRPr="000C003C">
        <w:rPr>
          <w:rFonts w:ascii="Times New Roman" w:eastAsia="Times New Roman" w:hAnsi="Times New Roman" w:cs="Times New Roman"/>
          <w:sz w:val="24"/>
          <w:szCs w:val="24"/>
        </w:rPr>
        <w:t xml:space="preserve"> </w:t>
      </w:r>
    </w:p>
    <w:p w14:paraId="0000002E" w14:textId="10341A19" w:rsidR="00E13F1F" w:rsidRPr="000C003C" w:rsidRDefault="009264E3" w:rsidP="000C003C">
      <w:pPr>
        <w:spacing w:line="480" w:lineRule="auto"/>
        <w:ind w:left="720"/>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1978-1948:</w:t>
      </w:r>
      <w:r w:rsidR="00553734" w:rsidRPr="000C003C">
        <w:rPr>
          <w:rFonts w:ascii="Times New Roman" w:eastAsia="Times New Roman" w:hAnsi="Times New Roman" w:cs="Times New Roman"/>
          <w:sz w:val="24"/>
          <w:szCs w:val="24"/>
        </w:rPr>
        <w:t xml:space="preserve"> this is s period of brief inter-communal war between the Arab and the Jewish communities of Palestine (262) </w:t>
      </w:r>
    </w:p>
    <w:p w14:paraId="0000002F" w14:textId="436C3825" w:rsidR="00E13F1F" w:rsidRPr="000C003C" w:rsidRDefault="009264E3" w:rsidP="000C003C">
      <w:pPr>
        <w:spacing w:line="480" w:lineRule="auto"/>
        <w:ind w:left="720"/>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1948:</w:t>
      </w:r>
      <w:r w:rsidR="00B1402E" w:rsidRPr="000C003C">
        <w:rPr>
          <w:rFonts w:ascii="Times New Roman" w:eastAsia="Times New Roman" w:hAnsi="Times New Roman" w:cs="Times New Roman"/>
          <w:sz w:val="24"/>
          <w:szCs w:val="24"/>
        </w:rPr>
        <w:t xml:space="preserve"> during this time, there existed a war between Israel and the invading </w:t>
      </w:r>
      <w:r w:rsidR="00340ACF" w:rsidRPr="000C003C">
        <w:rPr>
          <w:rFonts w:ascii="Times New Roman" w:eastAsia="Times New Roman" w:hAnsi="Times New Roman" w:cs="Times New Roman"/>
          <w:sz w:val="24"/>
          <w:szCs w:val="24"/>
        </w:rPr>
        <w:t>forces of the Arab states (262).</w:t>
      </w:r>
    </w:p>
    <w:p w14:paraId="00000030" w14:textId="39853ECB"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Irgun</w:t>
      </w:r>
      <w:r w:rsidR="00CF2EC3" w:rsidRPr="000C003C">
        <w:rPr>
          <w:rFonts w:ascii="Times New Roman" w:eastAsia="Times New Roman" w:hAnsi="Times New Roman" w:cs="Times New Roman"/>
          <w:sz w:val="24"/>
          <w:szCs w:val="24"/>
        </w:rPr>
        <w:t xml:space="preserve"> was a ﬁercely nationalistic organization that served as the military arm of revisionist Zionism. The Irgun consisted of a dedicated core of militant Zionists who advocated a policy of reprisals against Arab civilians and British personnel</w:t>
      </w:r>
      <w:r w:rsidR="00840FA4" w:rsidRPr="000C003C">
        <w:rPr>
          <w:rFonts w:ascii="Times New Roman" w:eastAsia="Times New Roman" w:hAnsi="Times New Roman" w:cs="Times New Roman"/>
          <w:sz w:val="24"/>
          <w:szCs w:val="24"/>
        </w:rPr>
        <w:t xml:space="preserve"> (263).</w:t>
      </w:r>
    </w:p>
    <w:p w14:paraId="00000031" w14:textId="7C2267FE"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Irgun terror</w:t>
      </w:r>
      <w:r w:rsidR="00840FA4" w:rsidRPr="000C003C">
        <w:rPr>
          <w:rFonts w:ascii="Times New Roman" w:eastAsia="Times New Roman" w:hAnsi="Times New Roman" w:cs="Times New Roman"/>
          <w:sz w:val="24"/>
          <w:szCs w:val="24"/>
        </w:rPr>
        <w:t xml:space="preserve"> refers to a campaign of terror attacks launched by the Irgun against the British </w:t>
      </w:r>
      <w:r w:rsidR="00516976" w:rsidRPr="000C003C">
        <w:rPr>
          <w:rFonts w:ascii="Times New Roman" w:eastAsia="Times New Roman" w:hAnsi="Times New Roman" w:cs="Times New Roman"/>
          <w:sz w:val="24"/>
          <w:szCs w:val="24"/>
        </w:rPr>
        <w:t>personnel</w:t>
      </w:r>
      <w:r w:rsidR="00840FA4" w:rsidRPr="000C003C">
        <w:rPr>
          <w:rFonts w:ascii="Times New Roman" w:eastAsia="Times New Roman" w:hAnsi="Times New Roman" w:cs="Times New Roman"/>
          <w:sz w:val="24"/>
          <w:szCs w:val="24"/>
        </w:rPr>
        <w:t xml:space="preserve"> in 1944</w:t>
      </w:r>
      <w:r w:rsidR="00516976" w:rsidRPr="000C003C">
        <w:rPr>
          <w:rFonts w:ascii="Times New Roman" w:eastAsia="Times New Roman" w:hAnsi="Times New Roman" w:cs="Times New Roman"/>
          <w:sz w:val="24"/>
          <w:szCs w:val="24"/>
        </w:rPr>
        <w:t xml:space="preserve"> (263).</w:t>
      </w:r>
    </w:p>
    <w:p w14:paraId="00000032" w14:textId="6364312B"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Lehi / Stern Gang</w:t>
      </w:r>
      <w:r w:rsidR="00516976" w:rsidRPr="000C003C">
        <w:rPr>
          <w:rFonts w:ascii="Times New Roman" w:eastAsia="Times New Roman" w:hAnsi="Times New Roman" w:cs="Times New Roman"/>
          <w:sz w:val="24"/>
          <w:szCs w:val="24"/>
        </w:rPr>
        <w:t xml:space="preserve"> refers to a</w:t>
      </w:r>
      <w:r w:rsidR="00223F60" w:rsidRPr="000C003C">
        <w:rPr>
          <w:rFonts w:ascii="Times New Roman" w:eastAsia="Times New Roman" w:hAnsi="Times New Roman" w:cs="Times New Roman"/>
          <w:sz w:val="24"/>
          <w:szCs w:val="24"/>
        </w:rPr>
        <w:t xml:space="preserve"> dissident militant unit that was however smaller compared to the Irgun. The stern Gang named after its founder was responsible for small and isolated acts of terror such as the assassination of the British minister of state for the Middle East (263).</w:t>
      </w:r>
    </w:p>
    <w:p w14:paraId="00000033" w14:textId="18B29A78"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1947 UN Partition Plan: the UN partition plan sought to divide Palestine into 3 sections that included</w:t>
      </w:r>
      <w:r w:rsidR="002C3248" w:rsidRPr="000C003C">
        <w:rPr>
          <w:rFonts w:ascii="Times New Roman" w:eastAsia="Times New Roman" w:hAnsi="Times New Roman" w:cs="Times New Roman"/>
          <w:sz w:val="24"/>
          <w:szCs w:val="24"/>
        </w:rPr>
        <w:t xml:space="preserve"> the Arab state, The Jewish State, and the international state of Jerusalem</w:t>
      </w:r>
      <w:r w:rsidR="00CB072C" w:rsidRPr="000C003C">
        <w:rPr>
          <w:rFonts w:ascii="Times New Roman" w:eastAsia="Times New Roman" w:hAnsi="Times New Roman" w:cs="Times New Roman"/>
          <w:sz w:val="24"/>
          <w:szCs w:val="24"/>
        </w:rPr>
        <w:t xml:space="preserve">. Even before its presentations, this plan was </w:t>
      </w:r>
      <w:r w:rsidR="000D11C4" w:rsidRPr="000C003C">
        <w:rPr>
          <w:rFonts w:ascii="Times New Roman" w:eastAsia="Times New Roman" w:hAnsi="Times New Roman" w:cs="Times New Roman"/>
          <w:sz w:val="24"/>
          <w:szCs w:val="24"/>
        </w:rPr>
        <w:t>rejected</w:t>
      </w:r>
      <w:r w:rsidR="00CB072C" w:rsidRPr="000C003C">
        <w:rPr>
          <w:rFonts w:ascii="Times New Roman" w:eastAsia="Times New Roman" w:hAnsi="Times New Roman" w:cs="Times New Roman"/>
          <w:sz w:val="24"/>
          <w:szCs w:val="24"/>
        </w:rPr>
        <w:t xml:space="preserve"> by the Arabs.</w:t>
      </w:r>
      <w:r w:rsidR="000D11C4" w:rsidRPr="000C003C">
        <w:rPr>
          <w:rFonts w:ascii="Times New Roman" w:eastAsia="Times New Roman" w:hAnsi="Times New Roman" w:cs="Times New Roman"/>
          <w:sz w:val="24"/>
          <w:szCs w:val="24"/>
        </w:rPr>
        <w:t xml:space="preserve"> Besides, the British refused to assist in the draft of </w:t>
      </w:r>
      <w:r w:rsidR="00696430" w:rsidRPr="000C003C">
        <w:rPr>
          <w:rFonts w:ascii="Times New Roman" w:eastAsia="Times New Roman" w:hAnsi="Times New Roman" w:cs="Times New Roman"/>
          <w:sz w:val="24"/>
          <w:szCs w:val="24"/>
        </w:rPr>
        <w:t>this</w:t>
      </w:r>
      <w:r w:rsidR="000D11C4" w:rsidRPr="000C003C">
        <w:rPr>
          <w:rFonts w:ascii="Times New Roman" w:eastAsia="Times New Roman" w:hAnsi="Times New Roman" w:cs="Times New Roman"/>
          <w:sz w:val="24"/>
          <w:szCs w:val="24"/>
        </w:rPr>
        <w:t xml:space="preserve"> partition plan presenting </w:t>
      </w:r>
      <w:r w:rsidR="00696430" w:rsidRPr="000C003C">
        <w:rPr>
          <w:rFonts w:ascii="Times New Roman" w:eastAsia="Times New Roman" w:hAnsi="Times New Roman" w:cs="Times New Roman"/>
          <w:sz w:val="24"/>
          <w:szCs w:val="24"/>
        </w:rPr>
        <w:t>further complications (265-266).</w:t>
      </w:r>
    </w:p>
    <w:p w14:paraId="00000034" w14:textId="65F2EAAE"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lastRenderedPageBreak/>
        <w:t>Massacre at Dayr Yassin 1948</w:t>
      </w:r>
      <w:r w:rsidR="008A1946" w:rsidRPr="000C003C">
        <w:rPr>
          <w:rFonts w:ascii="Times New Roman" w:eastAsia="Times New Roman" w:hAnsi="Times New Roman" w:cs="Times New Roman"/>
          <w:sz w:val="24"/>
          <w:szCs w:val="24"/>
        </w:rPr>
        <w:t>: On this day, an Arab unit retaliated for Dayr Yassin by attacking a convoy of medical relief doctors killing a number of them (266).</w:t>
      </w:r>
    </w:p>
    <w:p w14:paraId="00000035" w14:textId="35FDE030"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May 14, 1948</w:t>
      </w:r>
      <w:r w:rsidR="00F30E99" w:rsidRPr="000C003C">
        <w:rPr>
          <w:rFonts w:ascii="Times New Roman" w:eastAsia="Times New Roman" w:hAnsi="Times New Roman" w:cs="Times New Roman"/>
          <w:sz w:val="24"/>
          <w:szCs w:val="24"/>
        </w:rPr>
        <w:t xml:space="preserve">: it is indicated that this was the day that the </w:t>
      </w:r>
      <w:r w:rsidR="00705369" w:rsidRPr="000C003C">
        <w:rPr>
          <w:rFonts w:ascii="Times New Roman" w:eastAsia="Times New Roman" w:hAnsi="Times New Roman" w:cs="Times New Roman"/>
          <w:sz w:val="24"/>
          <w:szCs w:val="24"/>
        </w:rPr>
        <w:t xml:space="preserve">last British high commissioner General Alan Cunningham secretly left Haifa </w:t>
      </w:r>
      <w:r w:rsidR="00F109D3" w:rsidRPr="000C003C">
        <w:rPr>
          <w:rFonts w:ascii="Times New Roman" w:eastAsia="Times New Roman" w:hAnsi="Times New Roman" w:cs="Times New Roman"/>
          <w:sz w:val="24"/>
          <w:szCs w:val="24"/>
        </w:rPr>
        <w:t>(266).</w:t>
      </w:r>
    </w:p>
    <w:p w14:paraId="00000036" w14:textId="61B2624F"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1947-1948 Arab flight from Palestine</w:t>
      </w:r>
      <w:r w:rsidR="00696430" w:rsidRPr="000C003C">
        <w:rPr>
          <w:rFonts w:ascii="Times New Roman" w:eastAsia="Times New Roman" w:hAnsi="Times New Roman" w:cs="Times New Roman"/>
          <w:sz w:val="24"/>
          <w:szCs w:val="24"/>
        </w:rPr>
        <w:t xml:space="preserve">: initially, the Arab flight was seen as a normal movement of people moving away from conflict to return once the conflict subsides but in early 1948 this flight transformed into permanent mass exodus, as people abandoned </w:t>
      </w:r>
      <w:r w:rsidR="003B3088" w:rsidRPr="000C003C">
        <w:rPr>
          <w:rFonts w:ascii="Times New Roman" w:eastAsia="Times New Roman" w:hAnsi="Times New Roman" w:cs="Times New Roman"/>
          <w:sz w:val="24"/>
          <w:szCs w:val="24"/>
        </w:rPr>
        <w:t>their homes. Once the flight had started, the Haganah encouraged it (268).</w:t>
      </w:r>
    </w:p>
    <w:p w14:paraId="00000037" w14:textId="713E4357"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Plan D</w:t>
      </w:r>
      <w:r w:rsidR="00211055" w:rsidRPr="000C003C">
        <w:rPr>
          <w:rFonts w:ascii="Times New Roman" w:eastAsia="Times New Roman" w:hAnsi="Times New Roman" w:cs="Times New Roman"/>
          <w:sz w:val="24"/>
          <w:szCs w:val="24"/>
        </w:rPr>
        <w:t xml:space="preserve"> refers to </w:t>
      </w:r>
      <w:r w:rsidR="00F30E99" w:rsidRPr="000C003C">
        <w:rPr>
          <w:rFonts w:ascii="Times New Roman" w:eastAsia="Times New Roman" w:hAnsi="Times New Roman" w:cs="Times New Roman"/>
          <w:sz w:val="24"/>
          <w:szCs w:val="24"/>
        </w:rPr>
        <w:t>an</w:t>
      </w:r>
      <w:r w:rsidR="00211055" w:rsidRPr="000C003C">
        <w:rPr>
          <w:rFonts w:ascii="Times New Roman" w:eastAsia="Times New Roman" w:hAnsi="Times New Roman" w:cs="Times New Roman"/>
          <w:sz w:val="24"/>
          <w:szCs w:val="24"/>
        </w:rPr>
        <w:t xml:space="preserve"> authorized campaign launched by the Haganah on any potentially hostile Arab village</w:t>
      </w:r>
      <w:r w:rsidR="00F30E99" w:rsidRPr="000C003C">
        <w:rPr>
          <w:rFonts w:ascii="Times New Roman" w:eastAsia="Times New Roman" w:hAnsi="Times New Roman" w:cs="Times New Roman"/>
          <w:sz w:val="24"/>
          <w:szCs w:val="24"/>
        </w:rPr>
        <w:t xml:space="preserve">. Plan D </w:t>
      </w:r>
      <w:r w:rsidR="00F30E99" w:rsidRPr="000C003C">
        <w:rPr>
          <w:rFonts w:ascii="Times New Roman" w:eastAsia="Times New Roman" w:hAnsi="Times New Roman" w:cs="Times New Roman"/>
          <w:i/>
          <w:sz w:val="24"/>
          <w:szCs w:val="24"/>
        </w:rPr>
        <w:t>“provided for the conquest and permanent occupation, or leveling, of Arab villages and towns.”</w:t>
      </w:r>
      <w:r w:rsidR="00F30E99" w:rsidRPr="000C003C">
        <w:rPr>
          <w:rFonts w:ascii="Times New Roman" w:eastAsia="Times New Roman" w:hAnsi="Times New Roman" w:cs="Times New Roman"/>
          <w:sz w:val="24"/>
          <w:szCs w:val="24"/>
        </w:rPr>
        <w:t xml:space="preserve"> (268).</w:t>
      </w:r>
    </w:p>
    <w:p w14:paraId="00000038" w14:textId="7853EFB9"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H</w:t>
      </w:r>
      <w:r w:rsidRPr="000C003C">
        <w:rPr>
          <w:rFonts w:ascii="Times New Roman" w:eastAsia="Times New Roman" w:hAnsi="Times New Roman" w:cs="Times New Roman"/>
          <w:sz w:val="24"/>
          <w:szCs w:val="24"/>
        </w:rPr>
        <w:t>aganah</w:t>
      </w:r>
      <w:r w:rsidR="0076017A" w:rsidRPr="000C003C">
        <w:rPr>
          <w:rFonts w:ascii="Times New Roman" w:eastAsia="Times New Roman" w:hAnsi="Times New Roman" w:cs="Times New Roman"/>
          <w:sz w:val="24"/>
          <w:szCs w:val="24"/>
        </w:rPr>
        <w:t xml:space="preserve"> forces in Arab-Israeli War 1948</w:t>
      </w:r>
      <w:r w:rsidRPr="000C003C">
        <w:rPr>
          <w:rFonts w:ascii="Times New Roman" w:eastAsia="Times New Roman" w:hAnsi="Times New Roman" w:cs="Times New Roman"/>
          <w:sz w:val="24"/>
          <w:szCs w:val="24"/>
        </w:rPr>
        <w:t>: The Haganah took an active role in the executions of this war. For instance, authorized a campaign against potentially hostile Arab villages (268).</w:t>
      </w:r>
    </w:p>
    <w:p w14:paraId="00000039" w14:textId="71A90526" w:rsidR="00E13F1F" w:rsidRPr="000C003C" w:rsidRDefault="009264E3" w:rsidP="000C003C">
      <w:pPr>
        <w:spacing w:line="480" w:lineRule="auto"/>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Arab states in the Arab-Israeli War 1948</w:t>
      </w:r>
      <w:r w:rsidR="00F109D3" w:rsidRPr="000C003C">
        <w:rPr>
          <w:rFonts w:ascii="Times New Roman" w:eastAsia="Times New Roman" w:hAnsi="Times New Roman" w:cs="Times New Roman"/>
          <w:sz w:val="24"/>
          <w:szCs w:val="24"/>
        </w:rPr>
        <w:t xml:space="preserve">: </w:t>
      </w:r>
      <w:r w:rsidR="00E24578" w:rsidRPr="000C003C">
        <w:rPr>
          <w:rFonts w:ascii="Times New Roman" w:eastAsia="Times New Roman" w:hAnsi="Times New Roman" w:cs="Times New Roman"/>
          <w:sz w:val="24"/>
          <w:szCs w:val="24"/>
        </w:rPr>
        <w:t>The</w:t>
      </w:r>
      <w:r w:rsidR="00F109D3" w:rsidRPr="000C003C">
        <w:rPr>
          <w:rFonts w:ascii="Times New Roman" w:eastAsia="Times New Roman" w:hAnsi="Times New Roman" w:cs="Times New Roman"/>
          <w:sz w:val="24"/>
          <w:szCs w:val="24"/>
        </w:rPr>
        <w:t xml:space="preserve"> Arab states had pledged military support for their brothers i</w:t>
      </w:r>
      <w:r w:rsidR="00E24578" w:rsidRPr="000C003C">
        <w:rPr>
          <w:rFonts w:ascii="Times New Roman" w:eastAsia="Times New Roman" w:hAnsi="Times New Roman" w:cs="Times New Roman"/>
          <w:sz w:val="24"/>
          <w:szCs w:val="24"/>
        </w:rPr>
        <w:t>n Palestine in case of need arose.</w:t>
      </w:r>
    </w:p>
    <w:p w14:paraId="0000003A" w14:textId="77777777" w:rsidR="00E13F1F" w:rsidRPr="000C003C" w:rsidRDefault="00E13F1F" w:rsidP="000C003C">
      <w:pPr>
        <w:spacing w:line="480" w:lineRule="auto"/>
        <w:jc w:val="both"/>
        <w:rPr>
          <w:rFonts w:ascii="Times New Roman" w:eastAsia="Times New Roman" w:hAnsi="Times New Roman" w:cs="Times New Roman"/>
          <w:sz w:val="24"/>
          <w:szCs w:val="24"/>
        </w:rPr>
      </w:pPr>
    </w:p>
    <w:p w14:paraId="27502BCE" w14:textId="77777777" w:rsidR="000C003C" w:rsidRDefault="000C003C" w:rsidP="000C003C">
      <w:pPr>
        <w:spacing w:line="480" w:lineRule="auto"/>
        <w:jc w:val="both"/>
        <w:rPr>
          <w:rFonts w:ascii="Times New Roman" w:eastAsia="Times New Roman" w:hAnsi="Times New Roman" w:cs="Times New Roman"/>
          <w:b/>
          <w:sz w:val="24"/>
          <w:szCs w:val="24"/>
        </w:rPr>
      </w:pPr>
    </w:p>
    <w:p w14:paraId="457F8C86" w14:textId="77777777" w:rsidR="000C003C" w:rsidRDefault="000C003C" w:rsidP="000C003C">
      <w:pPr>
        <w:spacing w:line="480" w:lineRule="auto"/>
        <w:jc w:val="both"/>
        <w:rPr>
          <w:rFonts w:ascii="Times New Roman" w:eastAsia="Times New Roman" w:hAnsi="Times New Roman" w:cs="Times New Roman"/>
          <w:b/>
          <w:sz w:val="24"/>
          <w:szCs w:val="24"/>
        </w:rPr>
      </w:pPr>
    </w:p>
    <w:p w14:paraId="7ACA7761" w14:textId="77777777" w:rsidR="000C003C" w:rsidRDefault="000C003C" w:rsidP="000C003C">
      <w:pPr>
        <w:spacing w:line="480" w:lineRule="auto"/>
        <w:jc w:val="both"/>
        <w:rPr>
          <w:rFonts w:ascii="Times New Roman" w:eastAsia="Times New Roman" w:hAnsi="Times New Roman" w:cs="Times New Roman"/>
          <w:b/>
          <w:sz w:val="24"/>
          <w:szCs w:val="24"/>
        </w:rPr>
      </w:pPr>
    </w:p>
    <w:p w14:paraId="266F55B7" w14:textId="77777777" w:rsidR="000C003C" w:rsidRDefault="000C003C" w:rsidP="000C003C">
      <w:pPr>
        <w:spacing w:line="480" w:lineRule="auto"/>
        <w:jc w:val="both"/>
        <w:rPr>
          <w:rFonts w:ascii="Times New Roman" w:eastAsia="Times New Roman" w:hAnsi="Times New Roman" w:cs="Times New Roman"/>
          <w:b/>
          <w:sz w:val="24"/>
          <w:szCs w:val="24"/>
        </w:rPr>
      </w:pPr>
    </w:p>
    <w:p w14:paraId="0000003C" w14:textId="716CA922" w:rsidR="00E13F1F" w:rsidRPr="000C003C" w:rsidRDefault="009264E3" w:rsidP="000C003C">
      <w:pPr>
        <w:spacing w:line="480" w:lineRule="auto"/>
        <w:jc w:val="both"/>
        <w:rPr>
          <w:rFonts w:ascii="Times New Roman" w:eastAsia="Times New Roman" w:hAnsi="Times New Roman" w:cs="Times New Roman"/>
          <w:b/>
          <w:sz w:val="24"/>
          <w:szCs w:val="24"/>
        </w:rPr>
      </w:pPr>
      <w:r w:rsidRPr="000C003C">
        <w:rPr>
          <w:rFonts w:ascii="Times New Roman" w:eastAsia="Times New Roman" w:hAnsi="Times New Roman" w:cs="Times New Roman"/>
          <w:b/>
          <w:sz w:val="24"/>
          <w:szCs w:val="24"/>
        </w:rPr>
        <w:lastRenderedPageBreak/>
        <w:t xml:space="preserve">II Short answer. The IDs above ensure that you have a grasp of the ‘facts’. These questions, which you should keep in mind as you read, ask you to understand and explain the historical connections between these facts and how they helped produce one of the </w:t>
      </w:r>
      <w:r w:rsidRPr="000C003C">
        <w:rPr>
          <w:rFonts w:ascii="Times New Roman" w:eastAsia="Times New Roman" w:hAnsi="Times New Roman" w:cs="Times New Roman"/>
          <w:b/>
          <w:sz w:val="24"/>
          <w:szCs w:val="24"/>
        </w:rPr>
        <w:t xml:space="preserve">major </w:t>
      </w:r>
      <w:r w:rsidR="00B85490" w:rsidRPr="000C003C">
        <w:rPr>
          <w:rFonts w:ascii="Times New Roman" w:eastAsia="Times New Roman" w:hAnsi="Times New Roman" w:cs="Times New Roman"/>
          <w:b/>
          <w:sz w:val="24"/>
          <w:szCs w:val="24"/>
        </w:rPr>
        <w:t>faultiness</w:t>
      </w:r>
      <w:r w:rsidRPr="000C003C">
        <w:rPr>
          <w:rFonts w:ascii="Times New Roman" w:eastAsia="Times New Roman" w:hAnsi="Times New Roman" w:cs="Times New Roman"/>
          <w:b/>
          <w:sz w:val="24"/>
          <w:szCs w:val="24"/>
        </w:rPr>
        <w:t xml:space="preserve"> in the region today. ~100-150 words each.</w:t>
      </w:r>
    </w:p>
    <w:p w14:paraId="0000003D" w14:textId="19CC3B0F" w:rsidR="00E13F1F" w:rsidRPr="000C003C" w:rsidRDefault="009264E3" w:rsidP="000C003C">
      <w:pPr>
        <w:pStyle w:val="ListParagraph"/>
        <w:numPr>
          <w:ilvl w:val="0"/>
          <w:numId w:val="2"/>
        </w:numPr>
        <w:spacing w:line="480" w:lineRule="auto"/>
        <w:jc w:val="both"/>
        <w:rPr>
          <w:rFonts w:ascii="Times New Roman" w:eastAsia="Times New Roman" w:hAnsi="Times New Roman" w:cs="Times New Roman"/>
          <w:b/>
          <w:sz w:val="24"/>
          <w:szCs w:val="24"/>
        </w:rPr>
      </w:pPr>
      <w:r w:rsidRPr="000C003C">
        <w:rPr>
          <w:rFonts w:ascii="Times New Roman" w:eastAsia="Times New Roman" w:hAnsi="Times New Roman" w:cs="Times New Roman"/>
          <w:b/>
          <w:sz w:val="24"/>
          <w:szCs w:val="24"/>
        </w:rPr>
        <w:t xml:space="preserve">How did the Balfour declaration, McMahon-Hussayn correspondence, and Sykes-Picot Agreement - specifically their contradictory promises – directly shape the Modern Middle East? </w:t>
      </w:r>
    </w:p>
    <w:p w14:paraId="3CCE1061" w14:textId="07E8B2A9" w:rsidR="005E15F3" w:rsidRDefault="009264E3" w:rsidP="001729AB">
      <w:pPr>
        <w:spacing w:line="480" w:lineRule="auto"/>
        <w:ind w:firstLine="360"/>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 xml:space="preserve">The </w:t>
      </w:r>
      <w:r w:rsidR="00313485" w:rsidRPr="000C003C">
        <w:rPr>
          <w:rFonts w:ascii="Times New Roman" w:eastAsia="Times New Roman" w:hAnsi="Times New Roman" w:cs="Times New Roman"/>
          <w:sz w:val="24"/>
          <w:szCs w:val="24"/>
        </w:rPr>
        <w:t>Balfour Declaration is one of the controversial and important decisions made in the 20</w:t>
      </w:r>
      <w:r w:rsidR="00313485" w:rsidRPr="000C003C">
        <w:rPr>
          <w:rFonts w:ascii="Times New Roman" w:eastAsia="Times New Roman" w:hAnsi="Times New Roman" w:cs="Times New Roman"/>
          <w:sz w:val="24"/>
          <w:szCs w:val="24"/>
          <w:vertAlign w:val="superscript"/>
        </w:rPr>
        <w:t>th</w:t>
      </w:r>
      <w:r w:rsidR="00313485" w:rsidRPr="000C003C">
        <w:rPr>
          <w:rFonts w:ascii="Times New Roman" w:eastAsia="Times New Roman" w:hAnsi="Times New Roman" w:cs="Times New Roman"/>
          <w:sz w:val="24"/>
          <w:szCs w:val="24"/>
        </w:rPr>
        <w:t xml:space="preserve"> century. The Declaration helped in shaping the modern Middle East since it allowed many Jews to settle in this region. Similarly, it was instrumental in the creation of modern-day Israel.</w:t>
      </w:r>
      <w:r w:rsidR="00997914" w:rsidRPr="000C003C">
        <w:rPr>
          <w:rFonts w:ascii="Times New Roman" w:eastAsia="Times New Roman" w:hAnsi="Times New Roman" w:cs="Times New Roman"/>
          <w:sz w:val="24"/>
          <w:szCs w:val="24"/>
        </w:rPr>
        <w:t xml:space="preserve"> </w:t>
      </w:r>
      <w:r w:rsidR="001F5FE6" w:rsidRPr="000C003C">
        <w:rPr>
          <w:rFonts w:ascii="Times New Roman" w:eastAsia="Times New Roman" w:hAnsi="Times New Roman" w:cs="Times New Roman"/>
          <w:sz w:val="24"/>
          <w:szCs w:val="24"/>
        </w:rPr>
        <w:t>Besides</w:t>
      </w:r>
      <w:r w:rsidR="00997914" w:rsidRPr="000C003C">
        <w:rPr>
          <w:rFonts w:ascii="Times New Roman" w:eastAsia="Times New Roman" w:hAnsi="Times New Roman" w:cs="Times New Roman"/>
          <w:sz w:val="24"/>
          <w:szCs w:val="24"/>
        </w:rPr>
        <w:t>, the Arab-Israeli that resulted due to this declaration destabilized the Middle East as well the world.</w:t>
      </w:r>
      <w:r w:rsidR="00457AE0">
        <w:rPr>
          <w:rFonts w:ascii="Times New Roman" w:eastAsia="Times New Roman" w:hAnsi="Times New Roman" w:cs="Times New Roman"/>
          <w:sz w:val="24"/>
          <w:szCs w:val="24"/>
        </w:rPr>
        <w:t xml:space="preserve"> </w:t>
      </w:r>
      <w:r w:rsidR="00457AE0" w:rsidRPr="00457AE0">
        <w:rPr>
          <w:rFonts w:ascii="Times New Roman" w:eastAsia="Times New Roman" w:hAnsi="Times New Roman" w:cs="Times New Roman"/>
          <w:sz w:val="24"/>
          <w:szCs w:val="24"/>
        </w:rPr>
        <w:t>The Asia Minor Agreement, the official name of the Sykes-Picot Agreement, dates to 1916. It was the result of secret deliberations between the British civil servant Mark Sykes and French diplomat François Georges-Picot</w:t>
      </w:r>
    </w:p>
    <w:p w14:paraId="051AA3B0" w14:textId="75A6D9AF" w:rsidR="00457AE0" w:rsidRPr="000C003C" w:rsidRDefault="009264E3" w:rsidP="001729AB">
      <w:pPr>
        <w:spacing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conflicting promises made include the British' promise to recognize Arab independence after world war 1 in exchange for help in fighting the Ottomans. The 1917 Balfour Declaration also caused a bit of confusion as the British promised to suppor</w:t>
      </w:r>
      <w:r>
        <w:rPr>
          <w:rFonts w:ascii="Times New Roman" w:eastAsia="Times New Roman" w:hAnsi="Times New Roman" w:cs="Times New Roman"/>
          <w:sz w:val="24"/>
          <w:szCs w:val="24"/>
        </w:rPr>
        <w:t xml:space="preserve">t the establishment of a Jewish national home in Palestine. </w:t>
      </w:r>
      <w:r w:rsidR="00DF1AF7">
        <w:rPr>
          <w:rFonts w:ascii="Times New Roman" w:eastAsia="Times New Roman" w:hAnsi="Times New Roman" w:cs="Times New Roman"/>
          <w:sz w:val="24"/>
          <w:szCs w:val="24"/>
        </w:rPr>
        <w:t>These conflicting promises remained the center of the impasse between the Zionists and the Arabs.</w:t>
      </w:r>
    </w:p>
    <w:p w14:paraId="0428AD66" w14:textId="77777777" w:rsidR="00CE00BB" w:rsidRDefault="00CE00BB" w:rsidP="000C003C">
      <w:pPr>
        <w:spacing w:line="480" w:lineRule="auto"/>
        <w:jc w:val="both"/>
        <w:rPr>
          <w:rFonts w:ascii="Times New Roman" w:eastAsia="Times New Roman" w:hAnsi="Times New Roman" w:cs="Times New Roman"/>
          <w:sz w:val="24"/>
          <w:szCs w:val="24"/>
        </w:rPr>
      </w:pPr>
    </w:p>
    <w:p w14:paraId="1A9F2170" w14:textId="77777777" w:rsidR="00CE00BB" w:rsidRDefault="00CE00BB" w:rsidP="000C003C">
      <w:pPr>
        <w:spacing w:line="480" w:lineRule="auto"/>
        <w:jc w:val="both"/>
        <w:rPr>
          <w:rFonts w:ascii="Times New Roman" w:eastAsia="Times New Roman" w:hAnsi="Times New Roman" w:cs="Times New Roman"/>
          <w:sz w:val="24"/>
          <w:szCs w:val="24"/>
        </w:rPr>
      </w:pPr>
    </w:p>
    <w:p w14:paraId="0000003F" w14:textId="3C180859" w:rsidR="00E13F1F" w:rsidRPr="000C003C" w:rsidRDefault="009264E3" w:rsidP="000C003C">
      <w:pPr>
        <w:spacing w:line="480" w:lineRule="auto"/>
        <w:jc w:val="both"/>
        <w:rPr>
          <w:rFonts w:ascii="Times New Roman" w:eastAsia="Times New Roman" w:hAnsi="Times New Roman" w:cs="Times New Roman"/>
          <w:b/>
          <w:sz w:val="24"/>
          <w:szCs w:val="24"/>
        </w:rPr>
      </w:pPr>
      <w:r w:rsidRPr="000C003C">
        <w:rPr>
          <w:rFonts w:ascii="Times New Roman" w:eastAsia="Times New Roman" w:hAnsi="Times New Roman" w:cs="Times New Roman"/>
          <w:sz w:val="24"/>
          <w:szCs w:val="24"/>
        </w:rPr>
        <w:lastRenderedPageBreak/>
        <w:t xml:space="preserve">2. </w:t>
      </w:r>
      <w:r w:rsidRPr="000C003C">
        <w:rPr>
          <w:rFonts w:ascii="Times New Roman" w:eastAsia="Times New Roman" w:hAnsi="Times New Roman" w:cs="Times New Roman"/>
          <w:b/>
          <w:sz w:val="24"/>
          <w:szCs w:val="24"/>
        </w:rPr>
        <w:t>Some people say that British failures to act decisively during their Palestine Mandate direct</w:t>
      </w:r>
      <w:r w:rsidRPr="000C003C">
        <w:rPr>
          <w:rFonts w:ascii="Times New Roman" w:eastAsia="Times New Roman" w:hAnsi="Times New Roman" w:cs="Times New Roman"/>
          <w:b/>
          <w:sz w:val="24"/>
          <w:szCs w:val="24"/>
        </w:rPr>
        <w:t>ly shaped the Israel-Palestinian conflict. How would they defend this?</w:t>
      </w:r>
    </w:p>
    <w:p w14:paraId="5121FE5B" w14:textId="115B36D5" w:rsidR="001729AB" w:rsidRDefault="009264E3" w:rsidP="00CE00BB">
      <w:pPr>
        <w:spacing w:line="480" w:lineRule="auto"/>
        <w:ind w:firstLine="720"/>
        <w:jc w:val="both"/>
        <w:rPr>
          <w:rFonts w:ascii="Times New Roman" w:eastAsia="Times New Roman" w:hAnsi="Times New Roman" w:cs="Times New Roman"/>
          <w:sz w:val="24"/>
          <w:szCs w:val="24"/>
        </w:rPr>
      </w:pPr>
      <w:r w:rsidRPr="000C003C">
        <w:rPr>
          <w:rFonts w:ascii="Times New Roman" w:eastAsia="Times New Roman" w:hAnsi="Times New Roman" w:cs="Times New Roman"/>
          <w:sz w:val="24"/>
          <w:szCs w:val="24"/>
        </w:rPr>
        <w:t xml:space="preserve">Indeed, the actions of Britain during this period contributed considerably to the Israeli-Palestinian war. </w:t>
      </w:r>
      <w:r w:rsidR="002240D5" w:rsidRPr="000C003C">
        <w:rPr>
          <w:rFonts w:ascii="Times New Roman" w:eastAsia="Times New Roman" w:hAnsi="Times New Roman" w:cs="Times New Roman"/>
          <w:sz w:val="24"/>
          <w:szCs w:val="24"/>
        </w:rPr>
        <w:t>Similarly, even throughout the inter-communal war British were too engrossed on their preparations and thus made very little effort to restore and enforce the order</w:t>
      </w:r>
      <w:r w:rsidR="00DF359F" w:rsidRPr="000C003C">
        <w:rPr>
          <w:rFonts w:ascii="Times New Roman" w:eastAsia="Times New Roman" w:hAnsi="Times New Roman" w:cs="Times New Roman"/>
          <w:sz w:val="24"/>
          <w:szCs w:val="24"/>
        </w:rPr>
        <w:t xml:space="preserve">. It is as well believed that the British’s failure to use a nationwide army to suppress the resistance, other than leaving the ethic tribes to develop and manage their forces. </w:t>
      </w:r>
      <w:r w:rsidR="00FD5886" w:rsidRPr="000C003C">
        <w:rPr>
          <w:rFonts w:ascii="Times New Roman" w:eastAsia="Times New Roman" w:hAnsi="Times New Roman" w:cs="Times New Roman"/>
          <w:sz w:val="24"/>
          <w:szCs w:val="24"/>
        </w:rPr>
        <w:t xml:space="preserve"> In essence, more confusion in Palestine was w</w:t>
      </w:r>
      <w:r w:rsidR="00F50E0C" w:rsidRPr="000C003C">
        <w:rPr>
          <w:rFonts w:ascii="Times New Roman" w:eastAsia="Times New Roman" w:hAnsi="Times New Roman" w:cs="Times New Roman"/>
          <w:sz w:val="24"/>
          <w:szCs w:val="24"/>
        </w:rPr>
        <w:t xml:space="preserve">itnessed when Britain refused to assist in the implementation of the UN partition plan also ensured that the conflict continued. </w:t>
      </w:r>
    </w:p>
    <w:p w14:paraId="272314F5" w14:textId="1960B7FE"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3. Consider the following demographic data:</w:t>
      </w:r>
    </w:p>
    <w:p w14:paraId="07E7C975" w14:textId="77777777"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1920 85% Arab</w:t>
      </w:r>
    </w:p>
    <w:p w14:paraId="622847CC" w14:textId="77777777"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 xml:space="preserve">1931 82 % Arab </w:t>
      </w:r>
    </w:p>
    <w:p w14:paraId="3E574316" w14:textId="77777777"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1936 71% Arab</w:t>
      </w:r>
    </w:p>
    <w:p w14:paraId="34B58500" w14:textId="77777777"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1946 67% Arab 32% Jewish</w:t>
      </w:r>
    </w:p>
    <w:p w14:paraId="32BC1AF5" w14:textId="77777777" w:rsidR="001729AB" w:rsidRPr="001729AB" w:rsidRDefault="009264E3" w:rsidP="001729AB">
      <w:pPr>
        <w:spacing w:line="480" w:lineRule="auto"/>
        <w:jc w:val="both"/>
        <w:rPr>
          <w:rFonts w:ascii="Times New Roman" w:eastAsia="Times New Roman" w:hAnsi="Times New Roman" w:cs="Times New Roman"/>
          <w:b/>
          <w:sz w:val="24"/>
          <w:szCs w:val="24"/>
        </w:rPr>
      </w:pPr>
      <w:r w:rsidRPr="001729AB">
        <w:rPr>
          <w:rFonts w:ascii="Times New Roman" w:eastAsia="Times New Roman" w:hAnsi="Times New Roman" w:cs="Times New Roman"/>
          <w:b/>
          <w:sz w:val="24"/>
          <w:szCs w:val="24"/>
        </w:rPr>
        <w:t>What were the mechanisms that led to this first wave of demographic change – and some of the effects on the Arab community?</w:t>
      </w:r>
    </w:p>
    <w:p w14:paraId="32B32617" w14:textId="77777777" w:rsidR="00CE00BB" w:rsidRDefault="009264E3" w:rsidP="00CE00BB">
      <w:pPr>
        <w:spacing w:line="480" w:lineRule="auto"/>
        <w:ind w:firstLine="720"/>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The continued influx of the Jewish community in Palestine created an unconducive environment</w:t>
      </w:r>
      <w:r w:rsidRPr="001729AB">
        <w:rPr>
          <w:rFonts w:ascii="Times New Roman" w:eastAsia="Times New Roman" w:hAnsi="Times New Roman" w:cs="Times New Roman"/>
          <w:sz w:val="24"/>
          <w:szCs w:val="24"/>
        </w:rPr>
        <w:t xml:space="preserve"> for the Arabs hence the departure and the associated decline in the Arab population in Palestine. The intercommunal wars continued as the Jewish fought to secure the territories allocated to the Jewish State.</w:t>
      </w:r>
    </w:p>
    <w:p w14:paraId="455C1740" w14:textId="2355EEB4" w:rsidR="00DB55ED" w:rsidRDefault="009264E3" w:rsidP="00CE00B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lastRenderedPageBreak/>
        <w:t>In essence, the war was the main reason for th</w:t>
      </w:r>
      <w:r w:rsidRPr="001729AB">
        <w:rPr>
          <w:rFonts w:ascii="Times New Roman" w:eastAsia="Times New Roman" w:hAnsi="Times New Roman" w:cs="Times New Roman"/>
          <w:sz w:val="24"/>
          <w:szCs w:val="24"/>
        </w:rPr>
        <w:t xml:space="preserve">e decline in the Arab population and since most of these territories were originally inhabited by the Arabs, the Haganah forces scattered the Arabs thus leading to the decline in the Arab population as most of them sought refuge in other </w:t>
      </w:r>
      <w:r w:rsidR="00CE00BB" w:rsidRPr="001729AB">
        <w:rPr>
          <w:rFonts w:ascii="Times New Roman" w:eastAsia="Times New Roman" w:hAnsi="Times New Roman" w:cs="Times New Roman"/>
          <w:sz w:val="24"/>
          <w:szCs w:val="24"/>
        </w:rPr>
        <w:t>regions.</w:t>
      </w:r>
    </w:p>
    <w:p w14:paraId="6E4C39DC" w14:textId="01B98626"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 xml:space="preserve">4. </w:t>
      </w:r>
      <w:r w:rsidRPr="001729AB">
        <w:rPr>
          <w:rFonts w:ascii="Times New Roman" w:eastAsia="Times New Roman" w:hAnsi="Times New Roman" w:cs="Times New Roman"/>
          <w:b/>
          <w:sz w:val="24"/>
          <w:szCs w:val="24"/>
        </w:rPr>
        <w:t>How di</w:t>
      </w:r>
      <w:r w:rsidRPr="001729AB">
        <w:rPr>
          <w:rFonts w:ascii="Times New Roman" w:eastAsia="Times New Roman" w:hAnsi="Times New Roman" w:cs="Times New Roman"/>
          <w:b/>
          <w:sz w:val="24"/>
          <w:szCs w:val="24"/>
        </w:rPr>
        <w:t>d the Peel Commission and the 1939 White Paper lay the groundwork for the departure of Britain and the foundation of the state of Israel?</w:t>
      </w:r>
    </w:p>
    <w:p w14:paraId="7D549EE2" w14:textId="1B873065" w:rsidR="001729AB" w:rsidRPr="001729AB" w:rsidRDefault="009264E3" w:rsidP="00DB55ED">
      <w:pPr>
        <w:spacing w:line="480" w:lineRule="auto"/>
        <w:ind w:firstLine="720"/>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The Peel commission its recommendations stated that the British needed to leave and its mandate over Palestine be term</w:t>
      </w:r>
      <w:r w:rsidRPr="001729AB">
        <w:rPr>
          <w:rFonts w:ascii="Times New Roman" w:eastAsia="Times New Roman" w:hAnsi="Times New Roman" w:cs="Times New Roman"/>
          <w:sz w:val="24"/>
          <w:szCs w:val="24"/>
        </w:rPr>
        <w:t>inated. According to the recommendations from the commission, Palestine was to be partitioned into separate Arab and Jewish states. Britain would, however, continue to exercise authority in a corridor from Jerusalem to the Mediterranean Sea. These recommen</w:t>
      </w:r>
      <w:r w:rsidRPr="001729AB">
        <w:rPr>
          <w:rFonts w:ascii="Times New Roman" w:eastAsia="Times New Roman" w:hAnsi="Times New Roman" w:cs="Times New Roman"/>
          <w:sz w:val="24"/>
          <w:szCs w:val="24"/>
        </w:rPr>
        <w:t xml:space="preserve">dations seemed unworkable for the British as well the Arab Higher Committee who thought the partition could violate the rights of the original inhabitants and thus launched an opposition. </w:t>
      </w:r>
      <w:r w:rsidR="00DB55ED">
        <w:rPr>
          <w:rFonts w:ascii="Times New Roman" w:eastAsia="Times New Roman" w:hAnsi="Times New Roman" w:cs="Times New Roman"/>
          <w:sz w:val="24"/>
          <w:szCs w:val="24"/>
        </w:rPr>
        <w:t xml:space="preserve"> </w:t>
      </w:r>
      <w:r w:rsidRPr="001729AB">
        <w:rPr>
          <w:rFonts w:ascii="Times New Roman" w:eastAsia="Times New Roman" w:hAnsi="Times New Roman" w:cs="Times New Roman"/>
          <w:sz w:val="24"/>
          <w:szCs w:val="24"/>
        </w:rPr>
        <w:t>Essentially, the resistance and demonstrations associated with Peel</w:t>
      </w:r>
      <w:r w:rsidRPr="001729AB">
        <w:rPr>
          <w:rFonts w:ascii="Times New Roman" w:eastAsia="Times New Roman" w:hAnsi="Times New Roman" w:cs="Times New Roman"/>
          <w:sz w:val="24"/>
          <w:szCs w:val="24"/>
        </w:rPr>
        <w:t xml:space="preserve"> commission reports laid the foundations of a British exit from Palestine as most of the government services were brought to a standstill.</w:t>
      </w:r>
    </w:p>
    <w:p w14:paraId="32604EF2" w14:textId="77777777" w:rsidR="001729AB" w:rsidRPr="001729AB" w:rsidRDefault="009264E3" w:rsidP="001729AB">
      <w:pPr>
        <w:spacing w:line="480" w:lineRule="auto"/>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 xml:space="preserve">5. </w:t>
      </w:r>
      <w:r w:rsidRPr="001729AB">
        <w:rPr>
          <w:rFonts w:ascii="Times New Roman" w:eastAsia="Times New Roman" w:hAnsi="Times New Roman" w:cs="Times New Roman"/>
          <w:b/>
          <w:sz w:val="24"/>
          <w:szCs w:val="24"/>
        </w:rPr>
        <w:t>What are some of the reasons that the Yishuv was able to become so well organized so quickly and, conversely, that</w:t>
      </w:r>
      <w:r w:rsidRPr="001729AB">
        <w:rPr>
          <w:rFonts w:ascii="Times New Roman" w:eastAsia="Times New Roman" w:hAnsi="Times New Roman" w:cs="Times New Roman"/>
          <w:b/>
          <w:sz w:val="24"/>
          <w:szCs w:val="24"/>
        </w:rPr>
        <w:t xml:space="preserve"> the Arabs in Palestine never developed a comparable leadership structure?</w:t>
      </w:r>
    </w:p>
    <w:p w14:paraId="798AF1EC" w14:textId="77777777" w:rsidR="005B052B" w:rsidRDefault="009264E3" w:rsidP="00CE00BB">
      <w:pPr>
        <w:spacing w:line="480" w:lineRule="auto"/>
        <w:ind w:firstLine="720"/>
        <w:jc w:val="both"/>
        <w:rPr>
          <w:rFonts w:ascii="Times New Roman" w:eastAsia="Times New Roman" w:hAnsi="Times New Roman" w:cs="Times New Roman"/>
          <w:sz w:val="24"/>
          <w:szCs w:val="24"/>
        </w:rPr>
      </w:pPr>
      <w:r w:rsidRPr="001729AB">
        <w:rPr>
          <w:rFonts w:ascii="Times New Roman" w:eastAsia="Times New Roman" w:hAnsi="Times New Roman" w:cs="Times New Roman"/>
          <w:sz w:val="24"/>
          <w:szCs w:val="24"/>
        </w:rPr>
        <w:t>The Jewish community was able to effectively organize themselves faster than the Arabs because it is believed that they had a mission which they intended to fulfill as compared to t</w:t>
      </w:r>
      <w:r w:rsidRPr="001729AB">
        <w:rPr>
          <w:rFonts w:ascii="Times New Roman" w:eastAsia="Times New Roman" w:hAnsi="Times New Roman" w:cs="Times New Roman"/>
          <w:sz w:val="24"/>
          <w:szCs w:val="24"/>
        </w:rPr>
        <w:t>he Arab community who were home and had no mission. The Yishuv had a dream of establishing a Jewish national home in Palestine and by this reason, any opposing force was met with equal determination.</w:t>
      </w:r>
      <w:r w:rsidR="00CE00BB">
        <w:rPr>
          <w:rFonts w:ascii="Times New Roman" w:eastAsia="Times New Roman" w:hAnsi="Times New Roman" w:cs="Times New Roman"/>
          <w:sz w:val="24"/>
          <w:szCs w:val="24"/>
        </w:rPr>
        <w:t xml:space="preserve"> </w:t>
      </w:r>
    </w:p>
    <w:p w14:paraId="3F6A8ECD" w14:textId="46B71AC6" w:rsidR="001729AB" w:rsidRPr="000C003C" w:rsidRDefault="009264E3" w:rsidP="005B052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Similarly, the Arab flight encouraged by the Haganah </w:t>
      </w:r>
      <w:r>
        <w:rPr>
          <w:rFonts w:ascii="Times New Roman" w:eastAsia="Times New Roman" w:hAnsi="Times New Roman" w:cs="Times New Roman"/>
          <w:sz w:val="24"/>
          <w:szCs w:val="24"/>
        </w:rPr>
        <w:t>also contributed to a greater extent of success</w:t>
      </w:r>
      <w:r w:rsidR="00C21785">
        <w:rPr>
          <w:rFonts w:ascii="Times New Roman" w:eastAsia="Times New Roman" w:hAnsi="Times New Roman" w:cs="Times New Roman"/>
          <w:sz w:val="24"/>
          <w:szCs w:val="24"/>
        </w:rPr>
        <w:t>. Evidently, through the application of plan D, the Jewish were subsequently able to protect and secure their territories lying outside the UN decrees areas.</w:t>
      </w:r>
    </w:p>
    <w:sectPr w:rsidR="001729AB" w:rsidRPr="000C003C">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8BF7A" w14:textId="77777777" w:rsidR="009264E3" w:rsidRDefault="009264E3">
      <w:pPr>
        <w:spacing w:after="0" w:line="240" w:lineRule="auto"/>
      </w:pPr>
      <w:r>
        <w:separator/>
      </w:r>
    </w:p>
  </w:endnote>
  <w:endnote w:type="continuationSeparator" w:id="0">
    <w:p w14:paraId="44082DA5" w14:textId="77777777" w:rsidR="009264E3" w:rsidRDefault="00926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371F9" w14:textId="77777777" w:rsidR="009264E3" w:rsidRDefault="009264E3">
      <w:pPr>
        <w:spacing w:after="0" w:line="240" w:lineRule="auto"/>
      </w:pPr>
      <w:r>
        <w:separator/>
      </w:r>
    </w:p>
  </w:footnote>
  <w:footnote w:type="continuationSeparator" w:id="0">
    <w:p w14:paraId="443590AB" w14:textId="77777777" w:rsidR="009264E3" w:rsidRDefault="00926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743292"/>
      <w:docPartObj>
        <w:docPartGallery w:val="Page Numbers (Top of Page)"/>
        <w:docPartUnique/>
      </w:docPartObj>
    </w:sdtPr>
    <w:sdtEndPr>
      <w:rPr>
        <w:noProof/>
      </w:rPr>
    </w:sdtEndPr>
    <w:sdtContent>
      <w:p w14:paraId="7FC8BA61" w14:textId="09B3BE57" w:rsidR="000C003C" w:rsidRDefault="009264E3">
        <w:pPr>
          <w:pStyle w:val="Header"/>
          <w:jc w:val="right"/>
        </w:pPr>
        <w:r>
          <w:fldChar w:fldCharType="begin"/>
        </w:r>
        <w:r>
          <w:instrText xml:space="preserve"> PAGE   \* MERGEFORMAT </w:instrText>
        </w:r>
        <w:r>
          <w:fldChar w:fldCharType="separate"/>
        </w:r>
        <w:r w:rsidR="00F34872">
          <w:rPr>
            <w:noProof/>
          </w:rPr>
          <w:t>3</w:t>
        </w:r>
        <w:r>
          <w:rPr>
            <w:noProof/>
          </w:rPr>
          <w:fldChar w:fldCharType="end"/>
        </w:r>
      </w:p>
    </w:sdtContent>
  </w:sdt>
  <w:p w14:paraId="62CF3C5C" w14:textId="77777777" w:rsidR="000C003C" w:rsidRDefault="000C0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B1C35"/>
    <w:multiLevelType w:val="hybridMultilevel"/>
    <w:tmpl w:val="A6D0F360"/>
    <w:lvl w:ilvl="0" w:tplc="4036CD0C">
      <w:start w:val="1"/>
      <w:numFmt w:val="decimal"/>
      <w:lvlText w:val="%1."/>
      <w:lvlJc w:val="left"/>
      <w:pPr>
        <w:ind w:left="720" w:hanging="360"/>
      </w:pPr>
      <w:rPr>
        <w:rFonts w:hint="default"/>
      </w:rPr>
    </w:lvl>
    <w:lvl w:ilvl="1" w:tplc="F954A09C" w:tentative="1">
      <w:start w:val="1"/>
      <w:numFmt w:val="lowerLetter"/>
      <w:lvlText w:val="%2."/>
      <w:lvlJc w:val="left"/>
      <w:pPr>
        <w:ind w:left="1440" w:hanging="360"/>
      </w:pPr>
    </w:lvl>
    <w:lvl w:ilvl="2" w:tplc="2730D268" w:tentative="1">
      <w:start w:val="1"/>
      <w:numFmt w:val="lowerRoman"/>
      <w:lvlText w:val="%3."/>
      <w:lvlJc w:val="right"/>
      <w:pPr>
        <w:ind w:left="2160" w:hanging="180"/>
      </w:pPr>
    </w:lvl>
    <w:lvl w:ilvl="3" w:tplc="55841C04" w:tentative="1">
      <w:start w:val="1"/>
      <w:numFmt w:val="decimal"/>
      <w:lvlText w:val="%4."/>
      <w:lvlJc w:val="left"/>
      <w:pPr>
        <w:ind w:left="2880" w:hanging="360"/>
      </w:pPr>
    </w:lvl>
    <w:lvl w:ilvl="4" w:tplc="35D4748A" w:tentative="1">
      <w:start w:val="1"/>
      <w:numFmt w:val="lowerLetter"/>
      <w:lvlText w:val="%5."/>
      <w:lvlJc w:val="left"/>
      <w:pPr>
        <w:ind w:left="3600" w:hanging="360"/>
      </w:pPr>
    </w:lvl>
    <w:lvl w:ilvl="5" w:tplc="39AE23B4" w:tentative="1">
      <w:start w:val="1"/>
      <w:numFmt w:val="lowerRoman"/>
      <w:lvlText w:val="%6."/>
      <w:lvlJc w:val="right"/>
      <w:pPr>
        <w:ind w:left="4320" w:hanging="180"/>
      </w:pPr>
    </w:lvl>
    <w:lvl w:ilvl="6" w:tplc="F5A0A6E4" w:tentative="1">
      <w:start w:val="1"/>
      <w:numFmt w:val="decimal"/>
      <w:lvlText w:val="%7."/>
      <w:lvlJc w:val="left"/>
      <w:pPr>
        <w:ind w:left="5040" w:hanging="360"/>
      </w:pPr>
    </w:lvl>
    <w:lvl w:ilvl="7" w:tplc="E59E9E06" w:tentative="1">
      <w:start w:val="1"/>
      <w:numFmt w:val="lowerLetter"/>
      <w:lvlText w:val="%8."/>
      <w:lvlJc w:val="left"/>
      <w:pPr>
        <w:ind w:left="5760" w:hanging="360"/>
      </w:pPr>
    </w:lvl>
    <w:lvl w:ilvl="8" w:tplc="D2FA5518" w:tentative="1">
      <w:start w:val="1"/>
      <w:numFmt w:val="lowerRoman"/>
      <w:lvlText w:val="%9."/>
      <w:lvlJc w:val="right"/>
      <w:pPr>
        <w:ind w:left="6480" w:hanging="180"/>
      </w:pPr>
    </w:lvl>
  </w:abstractNum>
  <w:abstractNum w:abstractNumId="1" w15:restartNumberingAfterBreak="0">
    <w:nsid w:val="4B0135F1"/>
    <w:multiLevelType w:val="hybridMultilevel"/>
    <w:tmpl w:val="C4E07846"/>
    <w:lvl w:ilvl="0" w:tplc="37841D36">
      <w:start w:val="1"/>
      <w:numFmt w:val="decimal"/>
      <w:lvlText w:val="%1."/>
      <w:lvlJc w:val="left"/>
      <w:pPr>
        <w:ind w:left="720" w:hanging="360"/>
      </w:pPr>
      <w:rPr>
        <w:rFonts w:hint="default"/>
      </w:rPr>
    </w:lvl>
    <w:lvl w:ilvl="1" w:tplc="272E942C" w:tentative="1">
      <w:start w:val="1"/>
      <w:numFmt w:val="lowerLetter"/>
      <w:lvlText w:val="%2."/>
      <w:lvlJc w:val="left"/>
      <w:pPr>
        <w:ind w:left="1440" w:hanging="360"/>
      </w:pPr>
    </w:lvl>
    <w:lvl w:ilvl="2" w:tplc="E4807DB6" w:tentative="1">
      <w:start w:val="1"/>
      <w:numFmt w:val="lowerRoman"/>
      <w:lvlText w:val="%3."/>
      <w:lvlJc w:val="right"/>
      <w:pPr>
        <w:ind w:left="2160" w:hanging="180"/>
      </w:pPr>
    </w:lvl>
    <w:lvl w:ilvl="3" w:tplc="0E285722" w:tentative="1">
      <w:start w:val="1"/>
      <w:numFmt w:val="decimal"/>
      <w:lvlText w:val="%4."/>
      <w:lvlJc w:val="left"/>
      <w:pPr>
        <w:ind w:left="2880" w:hanging="360"/>
      </w:pPr>
    </w:lvl>
    <w:lvl w:ilvl="4" w:tplc="18B8D3F2" w:tentative="1">
      <w:start w:val="1"/>
      <w:numFmt w:val="lowerLetter"/>
      <w:lvlText w:val="%5."/>
      <w:lvlJc w:val="left"/>
      <w:pPr>
        <w:ind w:left="3600" w:hanging="360"/>
      </w:pPr>
    </w:lvl>
    <w:lvl w:ilvl="5" w:tplc="A544CDD4" w:tentative="1">
      <w:start w:val="1"/>
      <w:numFmt w:val="lowerRoman"/>
      <w:lvlText w:val="%6."/>
      <w:lvlJc w:val="right"/>
      <w:pPr>
        <w:ind w:left="4320" w:hanging="180"/>
      </w:pPr>
    </w:lvl>
    <w:lvl w:ilvl="6" w:tplc="D88AC524" w:tentative="1">
      <w:start w:val="1"/>
      <w:numFmt w:val="decimal"/>
      <w:lvlText w:val="%7."/>
      <w:lvlJc w:val="left"/>
      <w:pPr>
        <w:ind w:left="5040" w:hanging="360"/>
      </w:pPr>
    </w:lvl>
    <w:lvl w:ilvl="7" w:tplc="7D6E4108" w:tentative="1">
      <w:start w:val="1"/>
      <w:numFmt w:val="lowerLetter"/>
      <w:lvlText w:val="%8."/>
      <w:lvlJc w:val="left"/>
      <w:pPr>
        <w:ind w:left="5760" w:hanging="360"/>
      </w:pPr>
    </w:lvl>
    <w:lvl w:ilvl="8" w:tplc="4B9E628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F1F"/>
    <w:rsid w:val="00044D13"/>
    <w:rsid w:val="00050703"/>
    <w:rsid w:val="000730FA"/>
    <w:rsid w:val="00076F9A"/>
    <w:rsid w:val="000A5A9B"/>
    <w:rsid w:val="000C003C"/>
    <w:rsid w:val="000D11C4"/>
    <w:rsid w:val="000E4F5E"/>
    <w:rsid w:val="0010146B"/>
    <w:rsid w:val="00120CBE"/>
    <w:rsid w:val="0012369F"/>
    <w:rsid w:val="0013584A"/>
    <w:rsid w:val="001473AF"/>
    <w:rsid w:val="0015524E"/>
    <w:rsid w:val="001729AB"/>
    <w:rsid w:val="001B6C18"/>
    <w:rsid w:val="001E0798"/>
    <w:rsid w:val="001F5FE6"/>
    <w:rsid w:val="002035E9"/>
    <w:rsid w:val="00211055"/>
    <w:rsid w:val="00223F60"/>
    <w:rsid w:val="002240D5"/>
    <w:rsid w:val="00224A91"/>
    <w:rsid w:val="00285FDB"/>
    <w:rsid w:val="00295F76"/>
    <w:rsid w:val="002B338A"/>
    <w:rsid w:val="002C3248"/>
    <w:rsid w:val="00313485"/>
    <w:rsid w:val="003217FD"/>
    <w:rsid w:val="00340ACF"/>
    <w:rsid w:val="00362CAA"/>
    <w:rsid w:val="0036661F"/>
    <w:rsid w:val="00373778"/>
    <w:rsid w:val="0037555A"/>
    <w:rsid w:val="003B3088"/>
    <w:rsid w:val="003B5329"/>
    <w:rsid w:val="003F4C69"/>
    <w:rsid w:val="00455597"/>
    <w:rsid w:val="00457AE0"/>
    <w:rsid w:val="00477E64"/>
    <w:rsid w:val="00490A4B"/>
    <w:rsid w:val="004C3DF3"/>
    <w:rsid w:val="004E0AE6"/>
    <w:rsid w:val="00503612"/>
    <w:rsid w:val="00516976"/>
    <w:rsid w:val="00553734"/>
    <w:rsid w:val="00592592"/>
    <w:rsid w:val="00592A56"/>
    <w:rsid w:val="00595E54"/>
    <w:rsid w:val="005B052B"/>
    <w:rsid w:val="005E15F3"/>
    <w:rsid w:val="005F32E2"/>
    <w:rsid w:val="006053A0"/>
    <w:rsid w:val="00696430"/>
    <w:rsid w:val="007004B2"/>
    <w:rsid w:val="00705369"/>
    <w:rsid w:val="0076017A"/>
    <w:rsid w:val="0076284D"/>
    <w:rsid w:val="007A407F"/>
    <w:rsid w:val="007C7C75"/>
    <w:rsid w:val="0081309D"/>
    <w:rsid w:val="00834704"/>
    <w:rsid w:val="00840FA4"/>
    <w:rsid w:val="00841826"/>
    <w:rsid w:val="008A1946"/>
    <w:rsid w:val="008B1F6C"/>
    <w:rsid w:val="0091059D"/>
    <w:rsid w:val="009264E3"/>
    <w:rsid w:val="00976595"/>
    <w:rsid w:val="00986D5C"/>
    <w:rsid w:val="00997914"/>
    <w:rsid w:val="009A11C6"/>
    <w:rsid w:val="009C3830"/>
    <w:rsid w:val="00A153A3"/>
    <w:rsid w:val="00A17181"/>
    <w:rsid w:val="00A31999"/>
    <w:rsid w:val="00A64955"/>
    <w:rsid w:val="00AB1B75"/>
    <w:rsid w:val="00AC539F"/>
    <w:rsid w:val="00AC7C76"/>
    <w:rsid w:val="00B13854"/>
    <w:rsid w:val="00B1402E"/>
    <w:rsid w:val="00B6546D"/>
    <w:rsid w:val="00B85490"/>
    <w:rsid w:val="00BD2621"/>
    <w:rsid w:val="00BD4D24"/>
    <w:rsid w:val="00C21785"/>
    <w:rsid w:val="00C67CF1"/>
    <w:rsid w:val="00C82AE5"/>
    <w:rsid w:val="00CB072C"/>
    <w:rsid w:val="00CD15BE"/>
    <w:rsid w:val="00CE00BB"/>
    <w:rsid w:val="00CF2EC3"/>
    <w:rsid w:val="00D1492B"/>
    <w:rsid w:val="00D31A80"/>
    <w:rsid w:val="00D325A0"/>
    <w:rsid w:val="00D3266C"/>
    <w:rsid w:val="00D513EC"/>
    <w:rsid w:val="00D5301B"/>
    <w:rsid w:val="00D6069A"/>
    <w:rsid w:val="00DB1FBF"/>
    <w:rsid w:val="00DB55ED"/>
    <w:rsid w:val="00DF1AF7"/>
    <w:rsid w:val="00DF359F"/>
    <w:rsid w:val="00E13F1F"/>
    <w:rsid w:val="00E24578"/>
    <w:rsid w:val="00EB1AF8"/>
    <w:rsid w:val="00EE618B"/>
    <w:rsid w:val="00F065CE"/>
    <w:rsid w:val="00F109D3"/>
    <w:rsid w:val="00F30E99"/>
    <w:rsid w:val="00F34872"/>
    <w:rsid w:val="00F50E0C"/>
    <w:rsid w:val="00F838DF"/>
    <w:rsid w:val="00F965FB"/>
    <w:rsid w:val="00FB3306"/>
    <w:rsid w:val="00FD5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720E37-C528-4D58-8683-1A8C6D01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85490"/>
    <w:pPr>
      <w:ind w:left="720"/>
      <w:contextualSpacing/>
    </w:pPr>
  </w:style>
  <w:style w:type="paragraph" w:styleId="Header">
    <w:name w:val="header"/>
    <w:basedOn w:val="Normal"/>
    <w:link w:val="HeaderChar"/>
    <w:uiPriority w:val="99"/>
    <w:unhideWhenUsed/>
    <w:rsid w:val="000C0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03C"/>
  </w:style>
  <w:style w:type="paragraph" w:styleId="Footer">
    <w:name w:val="footer"/>
    <w:basedOn w:val="Normal"/>
    <w:link w:val="FooterChar"/>
    <w:uiPriority w:val="99"/>
    <w:unhideWhenUsed/>
    <w:rsid w:val="000C0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03C"/>
  </w:style>
  <w:style w:type="character" w:styleId="Hyperlink">
    <w:name w:val="Hyperlink"/>
    <w:basedOn w:val="DefaultParagraphFont"/>
    <w:uiPriority w:val="99"/>
    <w:unhideWhenUsed/>
    <w:rsid w:val="002035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2384</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2020-05-13T17:06:00Z</dcterms:created>
  <dcterms:modified xsi:type="dcterms:W3CDTF">2020-05-13T17:06:00Z</dcterms:modified>
</cp:coreProperties>
</file>